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955B" w14:textId="77777777" w:rsidR="00993DE6" w:rsidRPr="004F2818" w:rsidRDefault="00993DE6" w:rsidP="00993DE6">
      <w:pPr>
        <w:spacing w:line="320" w:lineRule="atLeast"/>
        <w:rPr>
          <w:rFonts w:ascii="Georgia" w:hAnsi="Georgia"/>
          <w:b/>
          <w:bCs/>
          <w:sz w:val="32"/>
          <w:szCs w:val="24"/>
        </w:rPr>
      </w:pPr>
      <w:r w:rsidRPr="004F2818">
        <w:rPr>
          <w:rFonts w:ascii="Georgia" w:hAnsi="Georgia"/>
          <w:b/>
          <w:bCs/>
          <w:sz w:val="32"/>
          <w:szCs w:val="24"/>
        </w:rPr>
        <w:t xml:space="preserve">Gender </w:t>
      </w:r>
      <w:proofErr w:type="gramStart"/>
      <w:r w:rsidRPr="004F2818">
        <w:rPr>
          <w:rFonts w:ascii="Georgia" w:hAnsi="Georgia"/>
          <w:b/>
          <w:bCs/>
          <w:sz w:val="32"/>
          <w:szCs w:val="24"/>
        </w:rPr>
        <w:t>pay</w:t>
      </w:r>
      <w:proofErr w:type="gramEnd"/>
      <w:r w:rsidRPr="004F2818">
        <w:rPr>
          <w:rFonts w:ascii="Georgia" w:hAnsi="Georgia"/>
          <w:b/>
          <w:bCs/>
          <w:sz w:val="32"/>
          <w:szCs w:val="24"/>
        </w:rPr>
        <w:t xml:space="preserve"> gap analysis</w:t>
      </w:r>
    </w:p>
    <w:p w14:paraId="716411BC" w14:textId="47B2A2EC" w:rsidR="00993DE6" w:rsidRPr="00D12E49" w:rsidRDefault="00993DE6" w:rsidP="00993DE6">
      <w:pPr>
        <w:spacing w:line="320" w:lineRule="atLeast"/>
        <w:rPr>
          <w:rFonts w:ascii="Georgia" w:hAnsi="Georgia"/>
          <w:sz w:val="32"/>
          <w:szCs w:val="24"/>
        </w:rPr>
      </w:pPr>
      <w:r w:rsidRPr="004F2818">
        <w:rPr>
          <w:rFonts w:ascii="Georgia" w:hAnsi="Georgia"/>
          <w:sz w:val="32"/>
          <w:szCs w:val="24"/>
        </w:rPr>
        <w:t>31 March 2022</w:t>
      </w:r>
    </w:p>
    <w:p w14:paraId="29ECB594" w14:textId="1F6617FC" w:rsidR="00993DE6" w:rsidRDefault="00C725DA" w:rsidP="00DD11D6">
      <w:pPr>
        <w:spacing w:line="320" w:lineRule="atLeast"/>
        <w:jc w:val="both"/>
      </w:pPr>
      <w:r w:rsidRPr="00AB4E47">
        <w:rPr>
          <w:b/>
          <w:bCs/>
          <w:noProof/>
        </w:rPr>
        <mc:AlternateContent>
          <mc:Choice Requires="wps">
            <w:drawing>
              <wp:anchor distT="45720" distB="45720" distL="114300" distR="114300" simplePos="0" relativeHeight="251661312" behindDoc="0" locked="0" layoutInCell="1" allowOverlap="1" wp14:anchorId="061D4582" wp14:editId="3E95093A">
                <wp:simplePos x="0" y="0"/>
                <wp:positionH relativeFrom="margin">
                  <wp:posOffset>4377055</wp:posOffset>
                </wp:positionH>
                <wp:positionV relativeFrom="paragraph">
                  <wp:posOffset>194945</wp:posOffset>
                </wp:positionV>
                <wp:extent cx="1951355" cy="3117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9525">
                          <a:noFill/>
                          <a:miter lim="800000"/>
                          <a:headEnd/>
                          <a:tailEnd/>
                        </a:ln>
                      </wps:spPr>
                      <wps:txbx>
                        <w:txbxContent>
                          <w:p w14:paraId="7A881FAA" w14:textId="6B857FCA" w:rsidR="0060615E" w:rsidRPr="00AE4888" w:rsidRDefault="00E74038" w:rsidP="00E74038">
                            <w:pPr>
                              <w:jc w:val="right"/>
                              <w:rPr>
                                <w:b/>
                                <w:bCs/>
                                <w:sz w:val="22"/>
                                <w:szCs w:val="18"/>
                              </w:rPr>
                            </w:pPr>
                            <w:r w:rsidRPr="00AE4888">
                              <w:rPr>
                                <w:b/>
                                <w:bCs/>
                                <w:sz w:val="22"/>
                                <w:szCs w:val="18"/>
                              </w:rPr>
                              <w:t>Change from 2021 to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type id="_x0000_t202" coordsize="21600,21600" o:spt="202" path="m,l,21600r21600,l21600,xe" w14:anchorId="061D4582">
                <v:stroke joinstyle="miter"/>
                <v:path gradientshapeok="t" o:connecttype="rect"/>
              </v:shapetype>
              <v:shape id="Text Box 2" style="position:absolute;left:0;text-align:left;margin-left:344.65pt;margin-top:15.35pt;width:153.65pt;height:2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">
                <v:textbox>
                  <w:txbxContent>
                    <w:p w:rsidRPr="00AE4888" w:rsidR="0060615E" w:rsidP="00E74038" w:rsidRDefault="00E74038" w14:paraId="7A881FAA" w14:textId="6B857FCA">
                      <w:pPr>
                        <w:jc w:val="right"/>
                        <w:rPr>
                          <w:b/>
                          <w:bCs/>
                          <w:sz w:val="22"/>
                          <w:szCs w:val="18"/>
                        </w:rPr>
                      </w:pPr>
                      <w:r w:rsidRPr="00AE4888">
                        <w:rPr>
                          <w:b/>
                          <w:bCs/>
                          <w:sz w:val="22"/>
                          <w:szCs w:val="18"/>
                        </w:rPr>
                        <w:t>Change from 2021 to 2022</w:t>
                      </w:r>
                    </w:p>
                  </w:txbxContent>
                </v:textbox>
                <w10:wrap type="square" anchorx="margin"/>
              </v:shape>
            </w:pict>
          </mc:Fallback>
        </mc:AlternateContent>
      </w:r>
      <w:r w:rsidR="00AE4888" w:rsidRPr="00AB4E47">
        <w:rPr>
          <w:b/>
          <w:bCs/>
          <w:noProof/>
        </w:rPr>
        <mc:AlternateContent>
          <mc:Choice Requires="wps">
            <w:drawing>
              <wp:anchor distT="45720" distB="45720" distL="114300" distR="114300" simplePos="0" relativeHeight="251659264" behindDoc="0" locked="0" layoutInCell="1" allowOverlap="1" wp14:anchorId="08DF908A" wp14:editId="03DDC877">
                <wp:simplePos x="0" y="0"/>
                <wp:positionH relativeFrom="margin">
                  <wp:posOffset>-73025</wp:posOffset>
                </wp:positionH>
                <wp:positionV relativeFrom="paragraph">
                  <wp:posOffset>203835</wp:posOffset>
                </wp:positionV>
                <wp:extent cx="2803525" cy="294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94640"/>
                        </a:xfrm>
                        <a:prstGeom prst="rect">
                          <a:avLst/>
                        </a:prstGeom>
                        <a:solidFill>
                          <a:srgbClr val="FFFFFF"/>
                        </a:solidFill>
                        <a:ln w="9525">
                          <a:noFill/>
                          <a:miter lim="800000"/>
                          <a:headEnd/>
                          <a:tailEnd/>
                        </a:ln>
                      </wps:spPr>
                      <wps:txbx>
                        <w:txbxContent>
                          <w:p w14:paraId="39AF1D16" w14:textId="7CC29A38" w:rsidR="00AB4E47" w:rsidRPr="00AE4888" w:rsidRDefault="00AB4E47" w:rsidP="0060615E">
                            <w:pPr>
                              <w:jc w:val="both"/>
                              <w:rPr>
                                <w:b/>
                                <w:bCs/>
                                <w:sz w:val="22"/>
                                <w:szCs w:val="18"/>
                              </w:rPr>
                            </w:pPr>
                            <w:r w:rsidRPr="00AE4888">
                              <w:rPr>
                                <w:b/>
                                <w:bCs/>
                                <w:sz w:val="22"/>
                                <w:szCs w:val="18"/>
                              </w:rPr>
                              <w:t>Gender Pay Gap</w:t>
                            </w:r>
                            <w:r w:rsidR="004F5618" w:rsidRPr="00AE4888">
                              <w:rPr>
                                <w:b/>
                                <w:bCs/>
                                <w:sz w:val="22"/>
                                <w:szCs w:val="18"/>
                              </w:rPr>
                              <w:t xml:space="preserve"> Analysis –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 id="_x0000_s1027" style="position:absolute;left:0;text-align:left;margin-left:-5.75pt;margin-top:16.05pt;width:220.75pt;height:2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" w14:anchorId="08DF908A">
                <v:textbox>
                  <w:txbxContent>
                    <w:p w:rsidRPr="00AE4888" w:rsidR="00AB4E47" w:rsidP="0060615E" w:rsidRDefault="00AB4E47" w14:paraId="39AF1D16" w14:textId="7CC29A38">
                      <w:pPr>
                        <w:jc w:val="both"/>
                        <w:rPr>
                          <w:b/>
                          <w:bCs/>
                          <w:sz w:val="22"/>
                          <w:szCs w:val="18"/>
                        </w:rPr>
                      </w:pPr>
                      <w:r w:rsidRPr="00AE4888">
                        <w:rPr>
                          <w:b/>
                          <w:bCs/>
                          <w:sz w:val="22"/>
                          <w:szCs w:val="18"/>
                        </w:rPr>
                        <w:t>Gender Pay Gap</w:t>
                      </w:r>
                      <w:r w:rsidRPr="00AE4888" w:rsidR="004F5618">
                        <w:rPr>
                          <w:b/>
                          <w:bCs/>
                          <w:sz w:val="22"/>
                          <w:szCs w:val="18"/>
                        </w:rPr>
                        <w:t xml:space="preserve"> Analysis – March 2022</w:t>
                      </w:r>
                    </w:p>
                  </w:txbxContent>
                </v:textbox>
                <w10:wrap type="square" anchorx="margin"/>
              </v:shape>
            </w:pict>
          </mc:Fallback>
        </mc:AlternateContent>
      </w:r>
    </w:p>
    <w:tbl>
      <w:tblPr>
        <w:tblW w:w="6753" w:type="dxa"/>
        <w:tblLook w:val="04A0" w:firstRow="1" w:lastRow="0" w:firstColumn="1" w:lastColumn="0" w:noHBand="0" w:noVBand="1"/>
      </w:tblPr>
      <w:tblGrid>
        <w:gridCol w:w="3394"/>
        <w:gridCol w:w="1468"/>
        <w:gridCol w:w="1107"/>
        <w:gridCol w:w="784"/>
      </w:tblGrid>
      <w:tr w:rsidR="008B553D" w:rsidRPr="008B553D" w14:paraId="761CEA88" w14:textId="77777777" w:rsidTr="2845297F">
        <w:trPr>
          <w:trHeight w:val="243"/>
        </w:trPr>
        <w:tc>
          <w:tcPr>
            <w:tcW w:w="5969" w:type="dxa"/>
            <w:gridSpan w:val="3"/>
            <w:tcBorders>
              <w:top w:val="single" w:sz="4" w:space="0" w:color="auto"/>
              <w:left w:val="single" w:sz="4" w:space="0" w:color="auto"/>
              <w:bottom w:val="single" w:sz="4" w:space="0" w:color="auto"/>
              <w:right w:val="single" w:sz="4" w:space="0" w:color="000000" w:themeColor="text1"/>
            </w:tcBorders>
            <w:shd w:val="clear" w:color="auto" w:fill="000000" w:themeFill="text1"/>
            <w:noWrap/>
            <w:vAlign w:val="bottom"/>
            <w:hideMark/>
          </w:tcPr>
          <w:p w14:paraId="29C45B42" w14:textId="77777777" w:rsidR="008B553D" w:rsidRPr="008B553D" w:rsidRDefault="008B553D" w:rsidP="008B553D">
            <w:pPr>
              <w:spacing w:line="240" w:lineRule="auto"/>
              <w:jc w:val="center"/>
              <w:rPr>
                <w:rFonts w:cs="Arial"/>
                <w:color w:val="000000"/>
                <w:sz w:val="20"/>
                <w:lang w:eastAsia="en-GB"/>
              </w:rPr>
            </w:pPr>
            <w:r w:rsidRPr="008B553D">
              <w:rPr>
                <w:rFonts w:cs="Arial"/>
                <w:color w:val="000000"/>
                <w:sz w:val="20"/>
                <w:lang w:eastAsia="en-GB"/>
              </w:rPr>
              <w:t> </w:t>
            </w:r>
          </w:p>
        </w:tc>
        <w:tc>
          <w:tcPr>
            <w:tcW w:w="78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CEDB3F0" w14:textId="77777777" w:rsidR="008B553D" w:rsidRPr="008B553D" w:rsidRDefault="008B553D" w:rsidP="008B553D">
            <w:pPr>
              <w:spacing w:line="240" w:lineRule="auto"/>
              <w:jc w:val="center"/>
              <w:rPr>
                <w:rFonts w:cs="Arial"/>
                <w:b/>
                <w:bCs/>
                <w:color w:val="FFFFFF"/>
                <w:sz w:val="20"/>
                <w:lang w:eastAsia="en-GB"/>
              </w:rPr>
            </w:pPr>
            <w:r w:rsidRPr="008B553D">
              <w:rPr>
                <w:rFonts w:cs="Arial"/>
                <w:b/>
                <w:bCs/>
                <w:color w:val="FFFFFF"/>
                <w:sz w:val="20"/>
                <w:lang w:eastAsia="en-GB"/>
              </w:rPr>
              <w:t>%</w:t>
            </w:r>
          </w:p>
        </w:tc>
      </w:tr>
      <w:tr w:rsidR="008B553D" w:rsidRPr="008B553D" w14:paraId="1A79017A" w14:textId="77777777" w:rsidTr="2845297F">
        <w:trPr>
          <w:trHeight w:val="243"/>
        </w:trPr>
        <w:tc>
          <w:tcPr>
            <w:tcW w:w="5969"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4E5E566C"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1. Mean gender pay gap - Ordinary pay</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1426402F"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6.8%</w:t>
            </w:r>
          </w:p>
        </w:tc>
      </w:tr>
      <w:tr w:rsidR="008B553D" w:rsidRPr="008B553D" w14:paraId="4C3F9443" w14:textId="77777777" w:rsidTr="2845297F">
        <w:trPr>
          <w:trHeight w:val="243"/>
        </w:trPr>
        <w:tc>
          <w:tcPr>
            <w:tcW w:w="5969"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F3A53DA"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2. Median gender pay gap - Ordinary pay</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6BAFA450"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2.2%</w:t>
            </w:r>
          </w:p>
        </w:tc>
      </w:tr>
      <w:tr w:rsidR="008B553D" w:rsidRPr="008B553D" w14:paraId="5A2723EE" w14:textId="77777777" w:rsidTr="2845297F">
        <w:trPr>
          <w:trHeight w:val="243"/>
        </w:trPr>
        <w:tc>
          <w:tcPr>
            <w:tcW w:w="5969"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3E27AA47" w14:textId="4824552E" w:rsidR="008B553D" w:rsidRPr="008B553D" w:rsidRDefault="008B553D" w:rsidP="2845297F">
            <w:pPr>
              <w:spacing w:line="240" w:lineRule="auto"/>
              <w:rPr>
                <w:rFonts w:cs="Arial"/>
                <w:color w:val="000000"/>
                <w:sz w:val="20"/>
                <w:lang w:eastAsia="en-GB"/>
              </w:rPr>
            </w:pPr>
            <w:r w:rsidRPr="2845297F">
              <w:rPr>
                <w:rFonts w:cs="Arial"/>
                <w:color w:val="000000" w:themeColor="text1"/>
                <w:sz w:val="20"/>
                <w:lang w:eastAsia="en-GB"/>
              </w:rPr>
              <w:t>3. Mean gender pay gap - Bonus pay in the 12 months ending 31 March</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12BC3AC4"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10.6%</w:t>
            </w:r>
          </w:p>
        </w:tc>
      </w:tr>
      <w:tr w:rsidR="008B553D" w:rsidRPr="008B553D" w14:paraId="7007C0F8" w14:textId="77777777" w:rsidTr="2845297F">
        <w:trPr>
          <w:trHeight w:val="243"/>
        </w:trPr>
        <w:tc>
          <w:tcPr>
            <w:tcW w:w="5969"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A9A3A2D"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4. Median gender pay gap - Bonus pay in the 12 months ending 31 March</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79B6AC95"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0.0%</w:t>
            </w:r>
          </w:p>
        </w:tc>
      </w:tr>
      <w:tr w:rsidR="008B553D" w:rsidRPr="008B553D" w14:paraId="0EBD0A9E" w14:textId="77777777" w:rsidTr="2845297F">
        <w:trPr>
          <w:trHeight w:val="256"/>
        </w:trPr>
        <w:tc>
          <w:tcPr>
            <w:tcW w:w="4862"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7482D936"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5. The proportion of male and female employees paid a bonus in the 12 months ending 31 March</w:t>
            </w: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14:paraId="5AD3D4D7"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Male</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0B992F6C"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76.5%</w:t>
            </w:r>
          </w:p>
        </w:tc>
      </w:tr>
      <w:tr w:rsidR="008B553D" w:rsidRPr="008B553D" w14:paraId="0A7FDA50" w14:textId="77777777" w:rsidTr="2845297F">
        <w:trPr>
          <w:trHeight w:val="243"/>
        </w:trPr>
        <w:tc>
          <w:tcPr>
            <w:tcW w:w="4862" w:type="dxa"/>
            <w:gridSpan w:val="2"/>
            <w:vMerge/>
            <w:vAlign w:val="center"/>
            <w:hideMark/>
          </w:tcPr>
          <w:p w14:paraId="054D14B6" w14:textId="77777777" w:rsidR="008B553D" w:rsidRPr="008B553D" w:rsidRDefault="008B553D" w:rsidP="008B553D">
            <w:pPr>
              <w:spacing w:line="240" w:lineRule="auto"/>
              <w:rPr>
                <w:rFonts w:cs="Arial"/>
                <w:color w:val="000000"/>
                <w:sz w:val="20"/>
                <w:lang w:eastAsia="en-GB"/>
              </w:rPr>
            </w:pPr>
          </w:p>
        </w:tc>
        <w:tc>
          <w:tcPr>
            <w:tcW w:w="1107" w:type="dxa"/>
            <w:tcBorders>
              <w:top w:val="nil"/>
              <w:left w:val="nil"/>
              <w:bottom w:val="single" w:sz="4" w:space="0" w:color="auto"/>
              <w:right w:val="single" w:sz="4" w:space="0" w:color="auto"/>
            </w:tcBorders>
            <w:shd w:val="clear" w:color="auto" w:fill="FFFFFF" w:themeFill="background1"/>
            <w:noWrap/>
            <w:vAlign w:val="bottom"/>
            <w:hideMark/>
          </w:tcPr>
          <w:p w14:paraId="79203E44"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Female</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6501A0BA" w14:textId="77777777" w:rsidR="008B553D" w:rsidRPr="008B553D" w:rsidRDefault="008B553D" w:rsidP="008B553D">
            <w:pPr>
              <w:spacing w:line="240" w:lineRule="auto"/>
              <w:jc w:val="right"/>
              <w:rPr>
                <w:rFonts w:cs="Arial"/>
                <w:b/>
                <w:bCs/>
                <w:sz w:val="20"/>
                <w:lang w:eastAsia="en-GB"/>
              </w:rPr>
            </w:pPr>
            <w:r w:rsidRPr="008B553D">
              <w:rPr>
                <w:rFonts w:cs="Arial"/>
                <w:b/>
                <w:bCs/>
                <w:sz w:val="20"/>
                <w:lang w:eastAsia="en-GB"/>
              </w:rPr>
              <w:t>73.3%</w:t>
            </w:r>
          </w:p>
        </w:tc>
      </w:tr>
      <w:tr w:rsidR="008B553D" w:rsidRPr="008B553D" w14:paraId="655CBC00" w14:textId="77777777" w:rsidTr="2845297F">
        <w:trPr>
          <w:trHeight w:val="243"/>
        </w:trPr>
        <w:tc>
          <w:tcPr>
            <w:tcW w:w="67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E143" w14:textId="77777777" w:rsidR="008B553D" w:rsidRPr="008B553D" w:rsidRDefault="008B553D" w:rsidP="008B553D">
            <w:pPr>
              <w:spacing w:line="240" w:lineRule="auto"/>
              <w:rPr>
                <w:rFonts w:cs="Arial"/>
                <w:sz w:val="20"/>
                <w:lang w:eastAsia="en-GB"/>
              </w:rPr>
            </w:pPr>
            <w:r w:rsidRPr="008B553D">
              <w:rPr>
                <w:rFonts w:cs="Arial"/>
                <w:sz w:val="20"/>
                <w:lang w:eastAsia="en-GB"/>
              </w:rPr>
              <w:t>6. Proportion of male and female employees in each quartile:</w:t>
            </w:r>
          </w:p>
        </w:tc>
      </w:tr>
      <w:tr w:rsidR="008B553D" w:rsidRPr="008B553D" w14:paraId="777A955A" w14:textId="77777777" w:rsidTr="2845297F">
        <w:trPr>
          <w:trHeight w:val="243"/>
        </w:trPr>
        <w:tc>
          <w:tcPr>
            <w:tcW w:w="3394" w:type="dxa"/>
            <w:tcBorders>
              <w:top w:val="single" w:sz="4" w:space="0" w:color="auto"/>
              <w:left w:val="single" w:sz="4" w:space="0" w:color="auto"/>
              <w:bottom w:val="single" w:sz="4" w:space="0" w:color="auto"/>
              <w:right w:val="single" w:sz="4" w:space="0" w:color="000000" w:themeColor="text1"/>
            </w:tcBorders>
            <w:shd w:val="clear" w:color="auto" w:fill="000000" w:themeFill="text1"/>
            <w:noWrap/>
            <w:vAlign w:val="center"/>
            <w:hideMark/>
          </w:tcPr>
          <w:p w14:paraId="31A54516" w14:textId="77777777" w:rsidR="008B553D" w:rsidRPr="008B553D" w:rsidRDefault="008B553D" w:rsidP="008B553D">
            <w:pPr>
              <w:spacing w:line="240" w:lineRule="auto"/>
              <w:jc w:val="center"/>
              <w:rPr>
                <w:rFonts w:cs="Arial"/>
                <w:b/>
                <w:bCs/>
                <w:color w:val="FFFFFF"/>
                <w:sz w:val="20"/>
                <w:lang w:eastAsia="en-GB"/>
              </w:rPr>
            </w:pPr>
            <w:r w:rsidRPr="008B553D">
              <w:rPr>
                <w:rFonts w:cs="Arial"/>
                <w:b/>
                <w:bCs/>
                <w:color w:val="FFFFFF"/>
                <w:sz w:val="20"/>
                <w:lang w:eastAsia="en-GB"/>
              </w:rPr>
              <w:t>Quartile</w:t>
            </w:r>
          </w:p>
        </w:tc>
        <w:tc>
          <w:tcPr>
            <w:tcW w:w="1468" w:type="dxa"/>
            <w:tcBorders>
              <w:top w:val="single" w:sz="4" w:space="0" w:color="auto"/>
              <w:left w:val="nil"/>
              <w:bottom w:val="single" w:sz="4" w:space="0" w:color="auto"/>
              <w:right w:val="single" w:sz="4" w:space="0" w:color="000000" w:themeColor="text1"/>
            </w:tcBorders>
            <w:shd w:val="clear" w:color="auto" w:fill="000000" w:themeFill="text1"/>
            <w:noWrap/>
            <w:vAlign w:val="center"/>
            <w:hideMark/>
          </w:tcPr>
          <w:p w14:paraId="2C5824DA" w14:textId="77777777" w:rsidR="008B553D" w:rsidRPr="008B553D" w:rsidRDefault="008B553D" w:rsidP="008B553D">
            <w:pPr>
              <w:spacing w:line="240" w:lineRule="auto"/>
              <w:jc w:val="center"/>
              <w:rPr>
                <w:rFonts w:cs="Arial"/>
                <w:b/>
                <w:bCs/>
                <w:color w:val="FFFFFF"/>
                <w:sz w:val="20"/>
                <w:lang w:eastAsia="en-GB"/>
              </w:rPr>
            </w:pPr>
            <w:r w:rsidRPr="008B553D">
              <w:rPr>
                <w:rFonts w:cs="Arial"/>
                <w:b/>
                <w:bCs/>
                <w:color w:val="FFFFFF"/>
                <w:sz w:val="20"/>
                <w:lang w:eastAsia="en-GB"/>
              </w:rPr>
              <w:t>Female %</w:t>
            </w:r>
          </w:p>
        </w:tc>
        <w:tc>
          <w:tcPr>
            <w:tcW w:w="1891" w:type="dxa"/>
            <w:gridSpan w:val="2"/>
            <w:tcBorders>
              <w:top w:val="single" w:sz="4" w:space="0" w:color="auto"/>
              <w:left w:val="nil"/>
              <w:bottom w:val="single" w:sz="4" w:space="0" w:color="auto"/>
              <w:right w:val="single" w:sz="4" w:space="0" w:color="000000" w:themeColor="text1"/>
            </w:tcBorders>
            <w:shd w:val="clear" w:color="auto" w:fill="000000" w:themeFill="text1"/>
            <w:noWrap/>
            <w:vAlign w:val="center"/>
            <w:hideMark/>
          </w:tcPr>
          <w:p w14:paraId="4C8A7A17" w14:textId="77777777" w:rsidR="008B553D" w:rsidRPr="008B553D" w:rsidRDefault="008B553D" w:rsidP="008B553D">
            <w:pPr>
              <w:spacing w:line="240" w:lineRule="auto"/>
              <w:jc w:val="center"/>
              <w:rPr>
                <w:rFonts w:cs="Arial"/>
                <w:b/>
                <w:bCs/>
                <w:color w:val="FFFFFF"/>
                <w:sz w:val="20"/>
                <w:lang w:eastAsia="en-GB"/>
              </w:rPr>
            </w:pPr>
            <w:r w:rsidRPr="008B553D">
              <w:rPr>
                <w:rFonts w:cs="Arial"/>
                <w:b/>
                <w:bCs/>
                <w:color w:val="FFFFFF"/>
                <w:sz w:val="20"/>
                <w:lang w:eastAsia="en-GB"/>
              </w:rPr>
              <w:t>Male %</w:t>
            </w:r>
          </w:p>
        </w:tc>
      </w:tr>
      <w:tr w:rsidR="008B553D" w:rsidRPr="008B553D" w14:paraId="02324DFB" w14:textId="77777777" w:rsidTr="2845297F">
        <w:trPr>
          <w:trHeight w:val="243"/>
        </w:trPr>
        <w:tc>
          <w:tcPr>
            <w:tcW w:w="3394"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34C08519"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First (lower) quartile</w:t>
            </w:r>
          </w:p>
        </w:tc>
        <w:tc>
          <w:tcPr>
            <w:tcW w:w="14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EDD08"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62.3%</w:t>
            </w:r>
          </w:p>
        </w:tc>
        <w:tc>
          <w:tcPr>
            <w:tcW w:w="189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D326AA7"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37.7%</w:t>
            </w:r>
          </w:p>
        </w:tc>
      </w:tr>
      <w:tr w:rsidR="008B553D" w:rsidRPr="008B553D" w14:paraId="5DA4FE05" w14:textId="77777777" w:rsidTr="2845297F">
        <w:trPr>
          <w:trHeight w:val="243"/>
        </w:trPr>
        <w:tc>
          <w:tcPr>
            <w:tcW w:w="3394"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5EE64A55"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Second quartile</w:t>
            </w:r>
          </w:p>
        </w:tc>
        <w:tc>
          <w:tcPr>
            <w:tcW w:w="14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E88E8"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69.4%</w:t>
            </w:r>
          </w:p>
        </w:tc>
        <w:tc>
          <w:tcPr>
            <w:tcW w:w="189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6F795"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30.6%</w:t>
            </w:r>
          </w:p>
        </w:tc>
      </w:tr>
      <w:tr w:rsidR="008B553D" w:rsidRPr="008B553D" w14:paraId="0F3EAFDC" w14:textId="77777777" w:rsidTr="2845297F">
        <w:trPr>
          <w:trHeight w:val="243"/>
        </w:trPr>
        <w:tc>
          <w:tcPr>
            <w:tcW w:w="3394"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1DB1FF6D"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Third quartile</w:t>
            </w:r>
          </w:p>
        </w:tc>
        <w:tc>
          <w:tcPr>
            <w:tcW w:w="14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A0CADE"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68.8%</w:t>
            </w:r>
          </w:p>
        </w:tc>
        <w:tc>
          <w:tcPr>
            <w:tcW w:w="189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393916C"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31.3%</w:t>
            </w:r>
          </w:p>
        </w:tc>
      </w:tr>
      <w:tr w:rsidR="008B553D" w:rsidRPr="008B553D" w14:paraId="3B888553" w14:textId="77777777" w:rsidTr="2845297F">
        <w:trPr>
          <w:trHeight w:val="243"/>
        </w:trPr>
        <w:tc>
          <w:tcPr>
            <w:tcW w:w="3394"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2ED334E" w14:textId="77777777" w:rsidR="008B553D" w:rsidRPr="008B553D" w:rsidRDefault="008B553D" w:rsidP="008B553D">
            <w:pPr>
              <w:spacing w:line="240" w:lineRule="auto"/>
              <w:rPr>
                <w:rFonts w:cs="Arial"/>
                <w:color w:val="000000"/>
                <w:sz w:val="20"/>
                <w:lang w:eastAsia="en-GB"/>
              </w:rPr>
            </w:pPr>
            <w:r w:rsidRPr="008B553D">
              <w:rPr>
                <w:rFonts w:cs="Arial"/>
                <w:color w:val="000000"/>
                <w:sz w:val="20"/>
                <w:lang w:eastAsia="en-GB"/>
              </w:rPr>
              <w:t>Fourth (upper) quartile</w:t>
            </w:r>
          </w:p>
        </w:tc>
        <w:tc>
          <w:tcPr>
            <w:tcW w:w="14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633DF"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71.1%</w:t>
            </w:r>
          </w:p>
        </w:tc>
        <w:tc>
          <w:tcPr>
            <w:tcW w:w="189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490A14C" w14:textId="77777777" w:rsidR="008B553D" w:rsidRPr="008B553D" w:rsidRDefault="008B553D" w:rsidP="008B553D">
            <w:pPr>
              <w:spacing w:line="240" w:lineRule="auto"/>
              <w:jc w:val="center"/>
              <w:rPr>
                <w:rFonts w:cs="Arial"/>
                <w:b/>
                <w:bCs/>
                <w:color w:val="000000"/>
                <w:sz w:val="20"/>
                <w:lang w:eastAsia="en-GB"/>
              </w:rPr>
            </w:pPr>
            <w:r w:rsidRPr="008B553D">
              <w:rPr>
                <w:rFonts w:cs="Arial"/>
                <w:b/>
                <w:bCs/>
                <w:color w:val="000000"/>
                <w:sz w:val="20"/>
                <w:lang w:eastAsia="en-GB"/>
              </w:rPr>
              <w:t>28.9%</w:t>
            </w:r>
          </w:p>
        </w:tc>
      </w:tr>
    </w:tbl>
    <w:tbl>
      <w:tblPr>
        <w:tblpPr w:leftFromText="180" w:rightFromText="180" w:vertAnchor="text" w:horzAnchor="page" w:tblpX="8525" w:tblpY="-3746"/>
        <w:tblW w:w="2841" w:type="dxa"/>
        <w:tblLook w:val="04A0" w:firstRow="1" w:lastRow="0" w:firstColumn="1" w:lastColumn="0" w:noHBand="0" w:noVBand="1"/>
      </w:tblPr>
      <w:tblGrid>
        <w:gridCol w:w="1729"/>
        <w:gridCol w:w="1112"/>
      </w:tblGrid>
      <w:tr w:rsidR="0060615E" w:rsidRPr="003967F6" w14:paraId="16EB588B" w14:textId="77777777" w:rsidTr="0060615E">
        <w:trPr>
          <w:trHeight w:val="276"/>
        </w:trPr>
        <w:tc>
          <w:tcPr>
            <w:tcW w:w="172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C20803C" w14:textId="77777777" w:rsidR="0060615E" w:rsidRPr="003967F6" w:rsidRDefault="0060615E" w:rsidP="0060615E">
            <w:pPr>
              <w:spacing w:line="240" w:lineRule="auto"/>
              <w:rPr>
                <w:rFonts w:cs="Arial"/>
                <w:b/>
                <w:bCs/>
                <w:color w:val="FFFFFF"/>
                <w:sz w:val="20"/>
                <w:lang w:eastAsia="en-GB"/>
              </w:rPr>
            </w:pPr>
            <w:r w:rsidRPr="003967F6">
              <w:rPr>
                <w:rFonts w:cs="Arial"/>
                <w:b/>
                <w:bCs/>
                <w:color w:val="FFFFFF"/>
                <w:sz w:val="20"/>
                <w:lang w:eastAsia="en-GB"/>
              </w:rPr>
              <w:t> </w:t>
            </w:r>
          </w:p>
        </w:tc>
        <w:tc>
          <w:tcPr>
            <w:tcW w:w="111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5E46B0B" w14:textId="77777777" w:rsidR="0060615E" w:rsidRPr="003967F6" w:rsidRDefault="0060615E" w:rsidP="0060615E">
            <w:pPr>
              <w:spacing w:line="240" w:lineRule="auto"/>
              <w:jc w:val="center"/>
              <w:rPr>
                <w:rFonts w:cs="Arial"/>
                <w:b/>
                <w:bCs/>
                <w:color w:val="FFFFFF"/>
                <w:sz w:val="20"/>
                <w:lang w:eastAsia="en-GB"/>
              </w:rPr>
            </w:pPr>
            <w:r w:rsidRPr="003967F6">
              <w:rPr>
                <w:rFonts w:cs="Arial"/>
                <w:b/>
                <w:bCs/>
                <w:color w:val="FFFFFF"/>
                <w:sz w:val="20"/>
                <w:lang w:eastAsia="en-GB"/>
              </w:rPr>
              <w:t>%</w:t>
            </w:r>
          </w:p>
        </w:tc>
      </w:tr>
      <w:tr w:rsidR="0060615E" w:rsidRPr="003967F6" w14:paraId="4834F4BF"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5DB09447"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Mean</w:t>
            </w:r>
          </w:p>
        </w:tc>
        <w:tc>
          <w:tcPr>
            <w:tcW w:w="1112" w:type="dxa"/>
            <w:tcBorders>
              <w:top w:val="nil"/>
              <w:left w:val="nil"/>
              <w:bottom w:val="single" w:sz="4" w:space="0" w:color="auto"/>
              <w:right w:val="single" w:sz="4" w:space="0" w:color="auto"/>
            </w:tcBorders>
            <w:shd w:val="clear" w:color="000000" w:fill="FFFFFF"/>
            <w:noWrap/>
            <w:vAlign w:val="bottom"/>
            <w:hideMark/>
          </w:tcPr>
          <w:p w14:paraId="5A354215"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-1.6%</w:t>
            </w:r>
          </w:p>
        </w:tc>
      </w:tr>
      <w:tr w:rsidR="0060615E" w:rsidRPr="003967F6" w14:paraId="103C1E2C"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329E2A6A"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Median</w:t>
            </w:r>
          </w:p>
        </w:tc>
        <w:tc>
          <w:tcPr>
            <w:tcW w:w="1112" w:type="dxa"/>
            <w:tcBorders>
              <w:top w:val="nil"/>
              <w:left w:val="nil"/>
              <w:bottom w:val="single" w:sz="4" w:space="0" w:color="auto"/>
              <w:right w:val="single" w:sz="4" w:space="0" w:color="auto"/>
            </w:tcBorders>
            <w:shd w:val="clear" w:color="000000" w:fill="FFFFFF"/>
            <w:noWrap/>
            <w:vAlign w:val="bottom"/>
            <w:hideMark/>
          </w:tcPr>
          <w:p w14:paraId="78CDF4FA"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1.0%</w:t>
            </w:r>
          </w:p>
        </w:tc>
      </w:tr>
      <w:tr w:rsidR="0060615E" w:rsidRPr="003967F6" w14:paraId="23340520"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6D5E417E"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Bonus - Mean</w:t>
            </w:r>
          </w:p>
        </w:tc>
        <w:tc>
          <w:tcPr>
            <w:tcW w:w="1112" w:type="dxa"/>
            <w:tcBorders>
              <w:top w:val="nil"/>
              <w:left w:val="nil"/>
              <w:bottom w:val="single" w:sz="4" w:space="0" w:color="auto"/>
              <w:right w:val="single" w:sz="4" w:space="0" w:color="auto"/>
            </w:tcBorders>
            <w:shd w:val="clear" w:color="000000" w:fill="FFFFFF"/>
            <w:noWrap/>
            <w:vAlign w:val="bottom"/>
            <w:hideMark/>
          </w:tcPr>
          <w:p w14:paraId="540371DD"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1.4%</w:t>
            </w:r>
          </w:p>
        </w:tc>
      </w:tr>
      <w:tr w:rsidR="0060615E" w:rsidRPr="003967F6" w14:paraId="63925539"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1DB56E4D"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Bonus - Median</w:t>
            </w:r>
          </w:p>
        </w:tc>
        <w:tc>
          <w:tcPr>
            <w:tcW w:w="1112" w:type="dxa"/>
            <w:tcBorders>
              <w:top w:val="nil"/>
              <w:left w:val="nil"/>
              <w:bottom w:val="single" w:sz="4" w:space="0" w:color="auto"/>
              <w:right w:val="single" w:sz="4" w:space="0" w:color="auto"/>
            </w:tcBorders>
            <w:shd w:val="clear" w:color="000000" w:fill="FFFFFF"/>
            <w:noWrap/>
            <w:vAlign w:val="bottom"/>
            <w:hideMark/>
          </w:tcPr>
          <w:p w14:paraId="545532FF"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0.0%</w:t>
            </w:r>
          </w:p>
        </w:tc>
      </w:tr>
      <w:tr w:rsidR="0060615E" w:rsidRPr="003967F6" w14:paraId="09B18886" w14:textId="77777777" w:rsidTr="0060615E">
        <w:trPr>
          <w:trHeight w:val="291"/>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7FDC5DD2"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 Bonus - M</w:t>
            </w:r>
          </w:p>
        </w:tc>
        <w:tc>
          <w:tcPr>
            <w:tcW w:w="1112" w:type="dxa"/>
            <w:tcBorders>
              <w:top w:val="nil"/>
              <w:left w:val="nil"/>
              <w:bottom w:val="single" w:sz="4" w:space="0" w:color="auto"/>
              <w:right w:val="single" w:sz="4" w:space="0" w:color="auto"/>
            </w:tcBorders>
            <w:shd w:val="clear" w:color="000000" w:fill="FFFFFF"/>
            <w:noWrap/>
            <w:vAlign w:val="bottom"/>
            <w:hideMark/>
          </w:tcPr>
          <w:p w14:paraId="440833A1"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-15.8%</w:t>
            </w:r>
          </w:p>
        </w:tc>
      </w:tr>
      <w:tr w:rsidR="0060615E" w:rsidRPr="003967F6" w14:paraId="788875C7"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7ACF38C5"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 Bonus - F</w:t>
            </w:r>
          </w:p>
        </w:tc>
        <w:tc>
          <w:tcPr>
            <w:tcW w:w="1112" w:type="dxa"/>
            <w:tcBorders>
              <w:top w:val="nil"/>
              <w:left w:val="nil"/>
              <w:bottom w:val="single" w:sz="4" w:space="0" w:color="auto"/>
              <w:right w:val="single" w:sz="4" w:space="0" w:color="auto"/>
            </w:tcBorders>
            <w:shd w:val="clear" w:color="000000" w:fill="FFFFFF"/>
            <w:noWrap/>
            <w:vAlign w:val="bottom"/>
            <w:hideMark/>
          </w:tcPr>
          <w:p w14:paraId="7AC1D154"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-17.3%</w:t>
            </w:r>
          </w:p>
        </w:tc>
      </w:tr>
      <w:tr w:rsidR="0060615E" w:rsidRPr="003967F6" w14:paraId="113E923E" w14:textId="77777777" w:rsidTr="0060615E">
        <w:trPr>
          <w:trHeight w:val="276"/>
        </w:trPr>
        <w:tc>
          <w:tcPr>
            <w:tcW w:w="1729" w:type="dxa"/>
            <w:tcBorders>
              <w:top w:val="nil"/>
              <w:left w:val="nil"/>
              <w:bottom w:val="nil"/>
              <w:right w:val="nil"/>
            </w:tcBorders>
            <w:shd w:val="clear" w:color="000000" w:fill="FFFFFF"/>
            <w:noWrap/>
            <w:vAlign w:val="bottom"/>
            <w:hideMark/>
          </w:tcPr>
          <w:p w14:paraId="261B53A6"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 </w:t>
            </w:r>
          </w:p>
        </w:tc>
        <w:tc>
          <w:tcPr>
            <w:tcW w:w="1112" w:type="dxa"/>
            <w:tcBorders>
              <w:top w:val="nil"/>
              <w:left w:val="nil"/>
              <w:bottom w:val="nil"/>
              <w:right w:val="nil"/>
            </w:tcBorders>
            <w:shd w:val="clear" w:color="000000" w:fill="FFFFFF"/>
            <w:noWrap/>
            <w:vAlign w:val="bottom"/>
            <w:hideMark/>
          </w:tcPr>
          <w:p w14:paraId="0164C0A1"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 </w:t>
            </w:r>
          </w:p>
        </w:tc>
      </w:tr>
      <w:tr w:rsidR="0060615E" w:rsidRPr="003967F6" w14:paraId="4E721EE9" w14:textId="77777777" w:rsidTr="0060615E">
        <w:trPr>
          <w:trHeight w:val="276"/>
        </w:trPr>
        <w:tc>
          <w:tcPr>
            <w:tcW w:w="1729" w:type="dxa"/>
            <w:tcBorders>
              <w:top w:val="single" w:sz="4" w:space="0" w:color="auto"/>
              <w:left w:val="single" w:sz="4" w:space="0" w:color="auto"/>
              <w:bottom w:val="single" w:sz="4" w:space="0" w:color="auto"/>
              <w:right w:val="nil"/>
            </w:tcBorders>
            <w:shd w:val="clear" w:color="auto" w:fill="000000" w:themeFill="text1"/>
            <w:noWrap/>
            <w:vAlign w:val="center"/>
            <w:hideMark/>
          </w:tcPr>
          <w:p w14:paraId="287D1F61" w14:textId="77777777" w:rsidR="0060615E" w:rsidRPr="003967F6" w:rsidRDefault="0060615E" w:rsidP="0060615E">
            <w:pPr>
              <w:spacing w:line="240" w:lineRule="auto"/>
              <w:jc w:val="center"/>
              <w:rPr>
                <w:rFonts w:cs="Arial"/>
                <w:b/>
                <w:bCs/>
                <w:color w:val="FFFFFF"/>
                <w:sz w:val="20"/>
                <w:lang w:eastAsia="en-GB"/>
              </w:rPr>
            </w:pPr>
            <w:r w:rsidRPr="003967F6">
              <w:rPr>
                <w:rFonts w:cs="Arial"/>
                <w:b/>
                <w:bCs/>
                <w:color w:val="FFFFFF"/>
                <w:sz w:val="20"/>
                <w:lang w:eastAsia="en-GB"/>
              </w:rPr>
              <w:t>Quartile</w:t>
            </w:r>
          </w:p>
        </w:tc>
        <w:tc>
          <w:tcPr>
            <w:tcW w:w="111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3299CD2" w14:textId="77777777" w:rsidR="0060615E" w:rsidRPr="003967F6" w:rsidRDefault="0060615E" w:rsidP="0060615E">
            <w:pPr>
              <w:spacing w:line="240" w:lineRule="auto"/>
              <w:jc w:val="center"/>
              <w:rPr>
                <w:rFonts w:cs="Arial"/>
                <w:b/>
                <w:bCs/>
                <w:color w:val="FFFFFF"/>
                <w:sz w:val="20"/>
                <w:lang w:eastAsia="en-GB"/>
              </w:rPr>
            </w:pPr>
            <w:r w:rsidRPr="003967F6">
              <w:rPr>
                <w:rFonts w:cs="Arial"/>
                <w:b/>
                <w:bCs/>
                <w:color w:val="FFFFFF"/>
                <w:sz w:val="20"/>
                <w:lang w:eastAsia="en-GB"/>
              </w:rPr>
              <w:t>%</w:t>
            </w:r>
          </w:p>
        </w:tc>
      </w:tr>
      <w:tr w:rsidR="0060615E" w:rsidRPr="003967F6" w14:paraId="08323FE7"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0B18A11F"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First quartile</w:t>
            </w:r>
          </w:p>
        </w:tc>
        <w:tc>
          <w:tcPr>
            <w:tcW w:w="1112" w:type="dxa"/>
            <w:tcBorders>
              <w:top w:val="nil"/>
              <w:left w:val="nil"/>
              <w:bottom w:val="single" w:sz="4" w:space="0" w:color="auto"/>
              <w:right w:val="single" w:sz="4" w:space="0" w:color="auto"/>
            </w:tcBorders>
            <w:shd w:val="clear" w:color="000000" w:fill="FFFFFF"/>
            <w:noWrap/>
            <w:vAlign w:val="bottom"/>
            <w:hideMark/>
          </w:tcPr>
          <w:p w14:paraId="4AE9D8E2"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-7.7%</w:t>
            </w:r>
          </w:p>
        </w:tc>
      </w:tr>
      <w:tr w:rsidR="0060615E" w:rsidRPr="003967F6" w14:paraId="42BE2E7F"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0ACA46AE"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Second quartile</w:t>
            </w:r>
          </w:p>
        </w:tc>
        <w:tc>
          <w:tcPr>
            <w:tcW w:w="1112" w:type="dxa"/>
            <w:tcBorders>
              <w:top w:val="nil"/>
              <w:left w:val="nil"/>
              <w:bottom w:val="single" w:sz="4" w:space="0" w:color="auto"/>
              <w:right w:val="single" w:sz="4" w:space="0" w:color="auto"/>
            </w:tcBorders>
            <w:shd w:val="clear" w:color="000000" w:fill="FFFFFF"/>
            <w:noWrap/>
            <w:vAlign w:val="bottom"/>
            <w:hideMark/>
          </w:tcPr>
          <w:p w14:paraId="0D0638D0"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2.0%</w:t>
            </w:r>
          </w:p>
        </w:tc>
      </w:tr>
      <w:tr w:rsidR="0060615E" w:rsidRPr="003967F6" w14:paraId="1C2667AF"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150A9B0D"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Third quartile</w:t>
            </w:r>
          </w:p>
        </w:tc>
        <w:tc>
          <w:tcPr>
            <w:tcW w:w="1112" w:type="dxa"/>
            <w:tcBorders>
              <w:top w:val="nil"/>
              <w:left w:val="nil"/>
              <w:bottom w:val="single" w:sz="4" w:space="0" w:color="auto"/>
              <w:right w:val="single" w:sz="4" w:space="0" w:color="auto"/>
            </w:tcBorders>
            <w:shd w:val="clear" w:color="000000" w:fill="FFFFFF"/>
            <w:noWrap/>
            <w:vAlign w:val="bottom"/>
            <w:hideMark/>
          </w:tcPr>
          <w:p w14:paraId="52EAFE30"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-3.9%</w:t>
            </w:r>
          </w:p>
        </w:tc>
      </w:tr>
      <w:tr w:rsidR="0060615E" w:rsidRPr="003967F6" w14:paraId="7E12F69C" w14:textId="77777777" w:rsidTr="0060615E">
        <w:trPr>
          <w:trHeight w:val="276"/>
        </w:trPr>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14:paraId="08645BCD" w14:textId="77777777" w:rsidR="0060615E" w:rsidRPr="003967F6" w:rsidRDefault="0060615E" w:rsidP="0060615E">
            <w:pPr>
              <w:spacing w:line="240" w:lineRule="auto"/>
              <w:rPr>
                <w:rFonts w:cs="Arial"/>
                <w:color w:val="000000"/>
                <w:sz w:val="20"/>
                <w:lang w:eastAsia="en-GB"/>
              </w:rPr>
            </w:pPr>
            <w:r w:rsidRPr="003967F6">
              <w:rPr>
                <w:rFonts w:cs="Arial"/>
                <w:color w:val="000000"/>
                <w:sz w:val="20"/>
                <w:lang w:eastAsia="en-GB"/>
              </w:rPr>
              <w:t>Fourth quartile</w:t>
            </w:r>
          </w:p>
        </w:tc>
        <w:tc>
          <w:tcPr>
            <w:tcW w:w="1112" w:type="dxa"/>
            <w:tcBorders>
              <w:top w:val="nil"/>
              <w:left w:val="nil"/>
              <w:bottom w:val="single" w:sz="4" w:space="0" w:color="auto"/>
              <w:right w:val="single" w:sz="4" w:space="0" w:color="auto"/>
            </w:tcBorders>
            <w:shd w:val="clear" w:color="000000" w:fill="FFFFFF"/>
            <w:noWrap/>
            <w:vAlign w:val="bottom"/>
            <w:hideMark/>
          </w:tcPr>
          <w:p w14:paraId="0D2275EE" w14:textId="77777777" w:rsidR="0060615E" w:rsidRPr="003967F6" w:rsidRDefault="0060615E" w:rsidP="0060615E">
            <w:pPr>
              <w:spacing w:line="240" w:lineRule="auto"/>
              <w:jc w:val="right"/>
              <w:rPr>
                <w:rFonts w:cs="Arial"/>
                <w:color w:val="000000"/>
                <w:sz w:val="20"/>
                <w:lang w:eastAsia="en-GB"/>
              </w:rPr>
            </w:pPr>
            <w:r w:rsidRPr="003967F6">
              <w:rPr>
                <w:rFonts w:cs="Arial"/>
                <w:color w:val="000000"/>
                <w:sz w:val="20"/>
                <w:lang w:eastAsia="en-GB"/>
              </w:rPr>
              <w:t>11.7%</w:t>
            </w:r>
          </w:p>
        </w:tc>
      </w:tr>
    </w:tbl>
    <w:p w14:paraId="066A4DB8" w14:textId="77777777" w:rsidR="008B553D" w:rsidRDefault="008B553D" w:rsidP="00DD11D6">
      <w:pPr>
        <w:spacing w:line="320" w:lineRule="atLeast"/>
        <w:jc w:val="both"/>
      </w:pPr>
    </w:p>
    <w:p w14:paraId="50A8E4B9" w14:textId="68429C99" w:rsidR="00993DE6" w:rsidRDefault="00993DE6" w:rsidP="00DD11D6">
      <w:pPr>
        <w:spacing w:line="320" w:lineRule="atLeast"/>
        <w:jc w:val="both"/>
      </w:pPr>
      <w:r>
        <w:t xml:space="preserve">Our median pay gap has increased slightly from 2021, when it was 1.2%. This nevertheless reflects well on the organisation’s pay policy of ensuring that salaries for individual roles are generally kept on a par with one another. </w:t>
      </w:r>
    </w:p>
    <w:p w14:paraId="20BDBB53" w14:textId="77777777" w:rsidR="00993DE6" w:rsidRDefault="00993DE6" w:rsidP="00DD11D6">
      <w:pPr>
        <w:spacing w:line="320" w:lineRule="atLeast"/>
        <w:jc w:val="both"/>
      </w:pPr>
    </w:p>
    <w:p w14:paraId="2ECE4B33" w14:textId="1D614EA1" w:rsidR="00993DE6" w:rsidRDefault="00993DE6" w:rsidP="00DD11D6">
      <w:pPr>
        <w:spacing w:line="320" w:lineRule="atLeast"/>
        <w:jc w:val="both"/>
      </w:pPr>
      <w:r>
        <w:t xml:space="preserve">The change in the mean pay gap from 8.4% in 2021 to 6.8% in 2022 is an improvement and reflects the </w:t>
      </w:r>
      <w:r w:rsidR="00DD11D6">
        <w:t>return to our established staffing</w:t>
      </w:r>
      <w:r>
        <w:t xml:space="preserve"> structure, which </w:t>
      </w:r>
      <w:r w:rsidR="00DD11D6">
        <w:t>had been increased in</w:t>
      </w:r>
      <w:r>
        <w:t xml:space="preserve"> 2020/21 to support the additional C</w:t>
      </w:r>
      <w:r w:rsidR="00DC34DF">
        <w:t xml:space="preserve">ulture </w:t>
      </w:r>
      <w:r>
        <w:t>R</w:t>
      </w:r>
      <w:r w:rsidR="00DC34DF">
        <w:t xml:space="preserve">ecovery </w:t>
      </w:r>
      <w:r>
        <w:t>F</w:t>
      </w:r>
      <w:r w:rsidR="00DC34DF">
        <w:t>und</w:t>
      </w:r>
      <w:r>
        <w:t xml:space="preserve"> and E</w:t>
      </w:r>
      <w:r w:rsidR="00DC34DF">
        <w:t xml:space="preserve">mergency </w:t>
      </w:r>
      <w:r>
        <w:t>R</w:t>
      </w:r>
      <w:r w:rsidR="00DC34DF">
        <w:t xml:space="preserve">esponse </w:t>
      </w:r>
      <w:r>
        <w:t>F</w:t>
      </w:r>
      <w:r w:rsidR="00DC34DF">
        <w:t>und programmes</w:t>
      </w:r>
      <w:r w:rsidR="00DD11D6">
        <w:t xml:space="preserve">.  </w:t>
      </w:r>
    </w:p>
    <w:p w14:paraId="7DEC1894" w14:textId="77777777" w:rsidR="00993DE6" w:rsidRDefault="00993DE6" w:rsidP="00DD11D6">
      <w:pPr>
        <w:spacing w:line="320" w:lineRule="atLeast"/>
        <w:jc w:val="both"/>
      </w:pPr>
    </w:p>
    <w:p w14:paraId="3E2CA055" w14:textId="649DBFB9" w:rsidR="00993DE6" w:rsidRDefault="00993DE6" w:rsidP="00DD11D6">
      <w:pPr>
        <w:spacing w:line="320" w:lineRule="atLeast"/>
        <w:jc w:val="both"/>
      </w:pPr>
      <w:r>
        <w:t>The bonus is only paid as £</w:t>
      </w:r>
      <w:r w:rsidR="00DD11D6">
        <w:t>250</w:t>
      </w:r>
      <w:r>
        <w:t xml:space="preserve"> as a flat rate (hence the median being zero). However</w:t>
      </w:r>
      <w:r w:rsidR="0073648B">
        <w:t>,</w:t>
      </w:r>
      <w:r>
        <w:t xml:space="preserve"> the gender gap in the mean bonus reflects the fact that we do not pay this (only £250 as a flat rate) to staff on probation (in their first six months of service) reflects </w:t>
      </w:r>
      <w:r w:rsidR="00DD11D6">
        <w:t>the large number of new employees who were female in 2022.</w:t>
      </w:r>
    </w:p>
    <w:p w14:paraId="022EBB85" w14:textId="671A5FE6" w:rsidR="00264D84" w:rsidRDefault="00264D84" w:rsidP="00DD11D6">
      <w:pPr>
        <w:spacing w:line="320" w:lineRule="atLeast"/>
        <w:jc w:val="both"/>
      </w:pPr>
    </w:p>
    <w:p w14:paraId="79DDF848" w14:textId="76417F78" w:rsidR="00264D84" w:rsidRDefault="00264D84" w:rsidP="00DD11D6">
      <w:pPr>
        <w:spacing w:line="320" w:lineRule="atLeast"/>
        <w:jc w:val="both"/>
      </w:pPr>
      <w:r>
        <w:t>As a comparator, the Civil Service median pay gap in 2022 is 11.3% (A</w:t>
      </w:r>
      <w:r w:rsidR="00DC34DF">
        <w:t>rts Council England’s is</w:t>
      </w:r>
      <w:r>
        <w:t xml:space="preserve"> 2.2%) and its mean pay gap is 8.5% (A</w:t>
      </w:r>
      <w:r w:rsidR="00DC34DF">
        <w:t>rts Council England’s is</w:t>
      </w:r>
      <w:r>
        <w:t xml:space="preserve"> 6.8%)</w:t>
      </w:r>
      <w:r w:rsidR="00DC34DF">
        <w:t>.</w:t>
      </w:r>
      <w:r w:rsidR="00DC34DF">
        <w:rPr>
          <w:rStyle w:val="FootnoteReference"/>
        </w:rPr>
        <w:footnoteReference w:id="2"/>
      </w:r>
      <w:r>
        <w:t xml:space="preserve">  </w:t>
      </w:r>
    </w:p>
    <w:p w14:paraId="2B67B5B1" w14:textId="1DE32C02" w:rsidR="00A3302F" w:rsidRDefault="00A3302F" w:rsidP="00DD11D6">
      <w:pPr>
        <w:spacing w:line="320" w:lineRule="atLeast"/>
        <w:jc w:val="both"/>
      </w:pPr>
    </w:p>
    <w:p w14:paraId="2F1C11A2" w14:textId="62326F7C" w:rsidR="00A3302F" w:rsidRDefault="00A3302F" w:rsidP="00DD11D6">
      <w:pPr>
        <w:spacing w:line="320" w:lineRule="atLeast"/>
        <w:jc w:val="both"/>
      </w:pPr>
      <w:r>
        <w:t xml:space="preserve">In comparison to our pay gap analysis in 2021, </w:t>
      </w:r>
      <w:proofErr w:type="gramStart"/>
      <w:r>
        <w:t>it can be seen that there</w:t>
      </w:r>
      <w:proofErr w:type="gramEnd"/>
      <w:r>
        <w:t xml:space="preserve"> has been significant positive improvement in the % of men and women in the 4</w:t>
      </w:r>
      <w:r w:rsidRPr="004F2818">
        <w:rPr>
          <w:vertAlign w:val="superscript"/>
        </w:rPr>
        <w:t>th</w:t>
      </w:r>
      <w:r>
        <w:t xml:space="preserve"> (upper) quartile.  In 2021, 40.7% of this quartile were men and 59.3% were women, whereas </w:t>
      </w:r>
      <w:r>
        <w:lastRenderedPageBreak/>
        <w:t xml:space="preserve">in 2022 this improved to 28.9% men and 71.1% women, which is almost exactly proportionate to the ratio of men and women in the whole organisation.  </w:t>
      </w:r>
    </w:p>
    <w:p w14:paraId="703AA7F1" w14:textId="2622818A" w:rsidR="00A3302F" w:rsidRDefault="00A3302F" w:rsidP="00DD11D6">
      <w:pPr>
        <w:spacing w:line="320" w:lineRule="atLeast"/>
        <w:jc w:val="both"/>
      </w:pPr>
      <w:r>
        <w:rPr>
          <w:noProof/>
        </w:rPr>
        <w:drawing>
          <wp:inline distT="0" distB="0" distL="0" distR="0" wp14:anchorId="14D05218" wp14:editId="7F2F78B6">
            <wp:extent cx="5587365" cy="3065780"/>
            <wp:effectExtent l="0" t="0" r="0" b="1270"/>
            <wp:docPr id="8" name="Picture 8" descr="Chart, waterfall chart&#10;&#10;Description automatically generated">
              <a:extLst xmlns:a="http://schemas.openxmlformats.org/drawingml/2006/main">
                <a:ext uri="{FF2B5EF4-FFF2-40B4-BE49-F238E27FC236}">
                  <a16:creationId xmlns:a16="http://schemas.microsoft.com/office/drawing/2014/main" id="{125A6DC7-5345-71E6-3423-3AEE5F84E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waterfall chart&#10;&#10;Description automatically generated">
                      <a:extLst>
                        <a:ext uri="{FF2B5EF4-FFF2-40B4-BE49-F238E27FC236}">
                          <a16:creationId xmlns:a16="http://schemas.microsoft.com/office/drawing/2014/main" id="{125A6DC7-5345-71E6-3423-3AEE5F84EA9C}"/>
                        </a:ext>
                      </a:extLst>
                    </pic:cNvPr>
                    <pic:cNvPicPr>
                      <a:picLocks noChangeAspect="1"/>
                    </pic:cNvPicPr>
                  </pic:nvPicPr>
                  <pic:blipFill>
                    <a:blip r:embed="rId8"/>
                    <a:stretch>
                      <a:fillRect/>
                    </a:stretch>
                  </pic:blipFill>
                  <pic:spPr>
                    <a:xfrm>
                      <a:off x="0" y="0"/>
                      <a:ext cx="5587365" cy="3065780"/>
                    </a:xfrm>
                    <a:prstGeom prst="rect">
                      <a:avLst/>
                    </a:prstGeom>
                  </pic:spPr>
                </pic:pic>
              </a:graphicData>
            </a:graphic>
          </wp:inline>
        </w:drawing>
      </w:r>
    </w:p>
    <w:p w14:paraId="5536AD8B" w14:textId="56BDD247" w:rsidR="00A3302F" w:rsidRDefault="00A3302F" w:rsidP="00DD11D6">
      <w:pPr>
        <w:spacing w:line="320" w:lineRule="atLeast"/>
        <w:jc w:val="both"/>
      </w:pPr>
    </w:p>
    <w:p w14:paraId="4B38CC21" w14:textId="1135C9DB" w:rsidR="00A3302F" w:rsidRDefault="00A3302F" w:rsidP="00DD11D6">
      <w:pPr>
        <w:spacing w:line="320" w:lineRule="atLeast"/>
        <w:jc w:val="both"/>
      </w:pPr>
    </w:p>
    <w:p w14:paraId="578DA3CF" w14:textId="14D18F57" w:rsidR="00A3302F" w:rsidRDefault="00A3302F" w:rsidP="00DD11D6">
      <w:pPr>
        <w:spacing w:line="320" w:lineRule="atLeast"/>
        <w:jc w:val="both"/>
      </w:pPr>
    </w:p>
    <w:p w14:paraId="01578FEC" w14:textId="27512378" w:rsidR="00DC34DF" w:rsidRDefault="00DC34DF" w:rsidP="00DD11D6">
      <w:pPr>
        <w:spacing w:line="320" w:lineRule="atLeast"/>
        <w:jc w:val="both"/>
        <w:rPr>
          <w:rFonts w:ascii="Georgia" w:hAnsi="Georgia"/>
          <w:sz w:val="32"/>
          <w:szCs w:val="24"/>
        </w:rPr>
      </w:pPr>
    </w:p>
    <w:p w14:paraId="6ECA82D7" w14:textId="162F2838" w:rsidR="00DC34DF" w:rsidRDefault="00DC34DF" w:rsidP="00DD11D6">
      <w:pPr>
        <w:spacing w:line="320" w:lineRule="atLeast"/>
        <w:jc w:val="both"/>
        <w:rPr>
          <w:rFonts w:ascii="Georgia" w:hAnsi="Georgia"/>
          <w:sz w:val="32"/>
          <w:szCs w:val="24"/>
        </w:rPr>
      </w:pPr>
    </w:p>
    <w:p w14:paraId="2A26A43E" w14:textId="41685467" w:rsidR="00DC34DF" w:rsidRDefault="00DC34DF" w:rsidP="00DD11D6">
      <w:pPr>
        <w:spacing w:line="320" w:lineRule="atLeast"/>
        <w:jc w:val="both"/>
        <w:rPr>
          <w:rFonts w:ascii="Georgia" w:hAnsi="Georgia"/>
          <w:sz w:val="32"/>
          <w:szCs w:val="24"/>
        </w:rPr>
      </w:pPr>
    </w:p>
    <w:p w14:paraId="5A7AC6D0" w14:textId="3AC3D5C5" w:rsidR="00DC34DF" w:rsidRDefault="00DC34DF" w:rsidP="00DD11D6">
      <w:pPr>
        <w:spacing w:line="320" w:lineRule="atLeast"/>
        <w:jc w:val="both"/>
        <w:rPr>
          <w:rFonts w:ascii="Georgia" w:hAnsi="Georgia"/>
          <w:sz w:val="32"/>
          <w:szCs w:val="24"/>
        </w:rPr>
      </w:pPr>
    </w:p>
    <w:p w14:paraId="05ECB758" w14:textId="5BC57ED8" w:rsidR="00DC34DF" w:rsidRDefault="00DC34DF" w:rsidP="00DD11D6">
      <w:pPr>
        <w:spacing w:line="320" w:lineRule="atLeast"/>
        <w:jc w:val="both"/>
        <w:rPr>
          <w:rFonts w:ascii="Georgia" w:hAnsi="Georgia"/>
          <w:sz w:val="32"/>
          <w:szCs w:val="24"/>
        </w:rPr>
      </w:pPr>
    </w:p>
    <w:p w14:paraId="429FFCE2" w14:textId="51462BFD" w:rsidR="00DC34DF" w:rsidRDefault="00DC34DF" w:rsidP="00DD11D6">
      <w:pPr>
        <w:spacing w:line="320" w:lineRule="atLeast"/>
        <w:jc w:val="both"/>
        <w:rPr>
          <w:rFonts w:ascii="Georgia" w:hAnsi="Georgia"/>
          <w:sz w:val="32"/>
          <w:szCs w:val="24"/>
        </w:rPr>
      </w:pPr>
    </w:p>
    <w:p w14:paraId="0C12629A" w14:textId="11DBBE48" w:rsidR="00DC34DF" w:rsidRDefault="00DC34DF" w:rsidP="00DD11D6">
      <w:pPr>
        <w:spacing w:line="320" w:lineRule="atLeast"/>
        <w:jc w:val="both"/>
        <w:rPr>
          <w:rFonts w:ascii="Georgia" w:hAnsi="Georgia"/>
          <w:sz w:val="32"/>
          <w:szCs w:val="24"/>
        </w:rPr>
      </w:pPr>
    </w:p>
    <w:p w14:paraId="361F9132" w14:textId="4E6DA332" w:rsidR="00DC34DF" w:rsidRDefault="00DC34DF" w:rsidP="00DD11D6">
      <w:pPr>
        <w:spacing w:line="320" w:lineRule="atLeast"/>
        <w:jc w:val="both"/>
        <w:rPr>
          <w:rFonts w:ascii="Georgia" w:hAnsi="Georgia"/>
          <w:sz w:val="32"/>
          <w:szCs w:val="24"/>
        </w:rPr>
      </w:pPr>
    </w:p>
    <w:p w14:paraId="5F1AA4CE" w14:textId="5E82AC41" w:rsidR="00DC34DF" w:rsidRDefault="00DC34DF" w:rsidP="00DD11D6">
      <w:pPr>
        <w:spacing w:line="320" w:lineRule="atLeast"/>
        <w:jc w:val="both"/>
        <w:rPr>
          <w:rFonts w:ascii="Georgia" w:hAnsi="Georgia"/>
          <w:sz w:val="32"/>
          <w:szCs w:val="24"/>
        </w:rPr>
      </w:pPr>
    </w:p>
    <w:p w14:paraId="56172BE1" w14:textId="3B4544D5" w:rsidR="00DC34DF" w:rsidRDefault="00DC34DF" w:rsidP="00DD11D6">
      <w:pPr>
        <w:spacing w:line="320" w:lineRule="atLeast"/>
        <w:jc w:val="both"/>
        <w:rPr>
          <w:rFonts w:ascii="Georgia" w:hAnsi="Georgia"/>
          <w:sz w:val="32"/>
          <w:szCs w:val="24"/>
        </w:rPr>
      </w:pPr>
    </w:p>
    <w:p w14:paraId="6B6E7E50" w14:textId="76A9A0AD" w:rsidR="00DC34DF" w:rsidRDefault="00DC34DF" w:rsidP="00DD11D6">
      <w:pPr>
        <w:spacing w:line="320" w:lineRule="atLeast"/>
        <w:jc w:val="both"/>
        <w:rPr>
          <w:rFonts w:ascii="Georgia" w:hAnsi="Georgia"/>
          <w:sz w:val="32"/>
          <w:szCs w:val="24"/>
        </w:rPr>
      </w:pPr>
    </w:p>
    <w:p w14:paraId="64860EEC" w14:textId="4DBA99DA" w:rsidR="00DC34DF" w:rsidRDefault="00DC34DF" w:rsidP="00DD11D6">
      <w:pPr>
        <w:spacing w:line="320" w:lineRule="atLeast"/>
        <w:jc w:val="both"/>
        <w:rPr>
          <w:rFonts w:ascii="Georgia" w:hAnsi="Georgia"/>
          <w:sz w:val="32"/>
          <w:szCs w:val="24"/>
        </w:rPr>
      </w:pPr>
    </w:p>
    <w:p w14:paraId="0AAD1877" w14:textId="10018B15" w:rsidR="00DC34DF" w:rsidRDefault="00DC34DF" w:rsidP="00DD11D6">
      <w:pPr>
        <w:spacing w:line="320" w:lineRule="atLeast"/>
        <w:jc w:val="both"/>
        <w:rPr>
          <w:rFonts w:ascii="Georgia" w:hAnsi="Georgia"/>
          <w:sz w:val="32"/>
          <w:szCs w:val="24"/>
        </w:rPr>
      </w:pPr>
    </w:p>
    <w:p w14:paraId="26415329" w14:textId="33201E04" w:rsidR="00DC34DF" w:rsidRDefault="00DC34DF" w:rsidP="00DD11D6">
      <w:pPr>
        <w:spacing w:line="320" w:lineRule="atLeast"/>
        <w:jc w:val="both"/>
        <w:rPr>
          <w:rFonts w:ascii="Georgia" w:hAnsi="Georgia"/>
          <w:sz w:val="32"/>
          <w:szCs w:val="24"/>
        </w:rPr>
      </w:pPr>
    </w:p>
    <w:p w14:paraId="722C5C49" w14:textId="2ADD5EBF" w:rsidR="00DC34DF" w:rsidRDefault="00DC34DF" w:rsidP="00DD11D6">
      <w:pPr>
        <w:spacing w:line="320" w:lineRule="atLeast"/>
        <w:jc w:val="both"/>
        <w:rPr>
          <w:rFonts w:ascii="Georgia" w:hAnsi="Georgia"/>
          <w:sz w:val="32"/>
          <w:szCs w:val="24"/>
        </w:rPr>
      </w:pPr>
    </w:p>
    <w:p w14:paraId="0988938A" w14:textId="5790D9EA" w:rsidR="00DC34DF" w:rsidRDefault="00DC34DF" w:rsidP="00DD11D6">
      <w:pPr>
        <w:spacing w:line="320" w:lineRule="atLeast"/>
        <w:jc w:val="both"/>
        <w:rPr>
          <w:rFonts w:ascii="Georgia" w:hAnsi="Georgia"/>
          <w:sz w:val="32"/>
          <w:szCs w:val="24"/>
        </w:rPr>
      </w:pPr>
    </w:p>
    <w:p w14:paraId="6B04DC78" w14:textId="064856AC" w:rsidR="00DC34DF" w:rsidRDefault="00DC34DF" w:rsidP="00DD11D6">
      <w:pPr>
        <w:spacing w:line="320" w:lineRule="atLeast"/>
        <w:jc w:val="both"/>
        <w:rPr>
          <w:rFonts w:ascii="Georgia" w:hAnsi="Georgia"/>
          <w:sz w:val="32"/>
          <w:szCs w:val="24"/>
        </w:rPr>
      </w:pPr>
    </w:p>
    <w:p w14:paraId="2031AE85" w14:textId="2D00FA56" w:rsidR="00DC34DF" w:rsidRDefault="00DC34DF" w:rsidP="00DD11D6">
      <w:pPr>
        <w:spacing w:line="320" w:lineRule="atLeast"/>
        <w:jc w:val="both"/>
        <w:rPr>
          <w:rFonts w:ascii="Georgia" w:hAnsi="Georgia"/>
          <w:sz w:val="32"/>
          <w:szCs w:val="24"/>
        </w:rPr>
      </w:pPr>
    </w:p>
    <w:p w14:paraId="0EA25913" w14:textId="77777777" w:rsidR="004F2818" w:rsidRDefault="004F2818">
      <w:pPr>
        <w:spacing w:line="320" w:lineRule="atLeast"/>
        <w:rPr>
          <w:rFonts w:ascii="Georgia" w:hAnsi="Georgia"/>
          <w:b/>
          <w:bCs/>
          <w:sz w:val="32"/>
          <w:szCs w:val="24"/>
        </w:rPr>
      </w:pPr>
    </w:p>
    <w:p w14:paraId="0908C2DD" w14:textId="7C2766DE" w:rsidR="00993DE6" w:rsidRPr="004F2818" w:rsidRDefault="00DD11D6">
      <w:pPr>
        <w:spacing w:line="320" w:lineRule="atLeast"/>
        <w:rPr>
          <w:rFonts w:ascii="Georgia" w:hAnsi="Georgia"/>
          <w:b/>
          <w:bCs/>
          <w:sz w:val="32"/>
          <w:szCs w:val="24"/>
        </w:rPr>
      </w:pPr>
      <w:r w:rsidRPr="004F2818">
        <w:rPr>
          <w:rFonts w:ascii="Georgia" w:hAnsi="Georgia"/>
          <w:b/>
          <w:bCs/>
          <w:sz w:val="32"/>
          <w:szCs w:val="24"/>
        </w:rPr>
        <w:lastRenderedPageBreak/>
        <w:t>Ethnicity Pay Gap Analysis</w:t>
      </w:r>
    </w:p>
    <w:p w14:paraId="5037B448" w14:textId="2B7BC0B8" w:rsidR="009D0B36" w:rsidRDefault="00DD11D6">
      <w:pPr>
        <w:spacing w:line="320" w:lineRule="atLeast"/>
        <w:rPr>
          <w:rFonts w:ascii="Georgia" w:hAnsi="Georgia"/>
          <w:sz w:val="32"/>
          <w:szCs w:val="24"/>
        </w:rPr>
      </w:pPr>
      <w:r w:rsidRPr="004F2818">
        <w:rPr>
          <w:rFonts w:ascii="Georgia" w:hAnsi="Georgia"/>
          <w:sz w:val="32"/>
          <w:szCs w:val="24"/>
        </w:rPr>
        <w:t>31 March 2022</w:t>
      </w:r>
    </w:p>
    <w:p w14:paraId="77A2A6BE" w14:textId="336952AC" w:rsidR="009D0B36" w:rsidRPr="004F2818" w:rsidRDefault="009D0B36">
      <w:pPr>
        <w:spacing w:line="320" w:lineRule="atLeast"/>
        <w:rPr>
          <w:rFonts w:ascii="Georgia" w:hAnsi="Georgia"/>
          <w:sz w:val="32"/>
          <w:szCs w:val="24"/>
        </w:rPr>
      </w:pPr>
      <w:r w:rsidRPr="00AB4E47">
        <w:rPr>
          <w:b/>
          <w:bCs/>
          <w:noProof/>
        </w:rPr>
        <mc:AlternateContent>
          <mc:Choice Requires="wps">
            <w:drawing>
              <wp:anchor distT="45720" distB="45720" distL="114300" distR="114300" simplePos="0" relativeHeight="251663360" behindDoc="0" locked="0" layoutInCell="1" allowOverlap="1" wp14:anchorId="5CA6A2D5" wp14:editId="264BBAC0">
                <wp:simplePos x="0" y="0"/>
                <wp:positionH relativeFrom="margin">
                  <wp:posOffset>-85725</wp:posOffset>
                </wp:positionH>
                <wp:positionV relativeFrom="paragraph">
                  <wp:posOffset>240665</wp:posOffset>
                </wp:positionV>
                <wp:extent cx="2924810" cy="29464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94640"/>
                        </a:xfrm>
                        <a:prstGeom prst="rect">
                          <a:avLst/>
                        </a:prstGeom>
                        <a:solidFill>
                          <a:srgbClr val="FFFFFF"/>
                        </a:solidFill>
                        <a:ln w="9525">
                          <a:noFill/>
                          <a:miter lim="800000"/>
                          <a:headEnd/>
                          <a:tailEnd/>
                        </a:ln>
                      </wps:spPr>
                      <wps:txbx>
                        <w:txbxContent>
                          <w:p w14:paraId="373ABAE8" w14:textId="24B94A49" w:rsidR="009D0B36" w:rsidRPr="00AE4888" w:rsidRDefault="009D0B36" w:rsidP="009D0B36">
                            <w:pPr>
                              <w:rPr>
                                <w:b/>
                                <w:bCs/>
                                <w:sz w:val="22"/>
                                <w:szCs w:val="18"/>
                              </w:rPr>
                            </w:pPr>
                            <w:r>
                              <w:rPr>
                                <w:b/>
                                <w:bCs/>
                                <w:sz w:val="22"/>
                                <w:szCs w:val="18"/>
                              </w:rPr>
                              <w:t xml:space="preserve">Ethnicity </w:t>
                            </w:r>
                            <w:r w:rsidRPr="00AE4888">
                              <w:rPr>
                                <w:b/>
                                <w:bCs/>
                                <w:sz w:val="22"/>
                                <w:szCs w:val="18"/>
                              </w:rPr>
                              <w:t>Pay Gap Analysis –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 id="_x0000_s1028" style="position:absolute;margin-left:-6.75pt;margin-top:18.95pt;width:230.3pt;height:2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iMEAIAAP0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" w14:anchorId="5CA6A2D5">
                <v:textbox>
                  <w:txbxContent>
                    <w:p w:rsidRPr="00AE4888" w:rsidR="009D0B36" w:rsidP="009D0B36" w:rsidRDefault="009D0B36" w14:paraId="373ABAE8" w14:textId="24B94A49">
                      <w:pPr>
                        <w:rPr>
                          <w:b/>
                          <w:bCs/>
                          <w:sz w:val="22"/>
                          <w:szCs w:val="18"/>
                        </w:rPr>
                      </w:pPr>
                      <w:r>
                        <w:rPr>
                          <w:b/>
                          <w:bCs/>
                          <w:sz w:val="22"/>
                          <w:szCs w:val="18"/>
                        </w:rPr>
                        <w:t xml:space="preserve">Ethnicity </w:t>
                      </w:r>
                      <w:r w:rsidRPr="00AE4888">
                        <w:rPr>
                          <w:b/>
                          <w:bCs/>
                          <w:sz w:val="22"/>
                          <w:szCs w:val="18"/>
                        </w:rPr>
                        <w:t>Pay Gap Analysis – March 2022</w:t>
                      </w:r>
                    </w:p>
                  </w:txbxContent>
                </v:textbox>
                <w10:wrap type="square" anchorx="margin"/>
              </v:shape>
            </w:pict>
          </mc:Fallback>
        </mc:AlternateContent>
      </w:r>
    </w:p>
    <w:p w14:paraId="4D0AAB17" w14:textId="6A955B56" w:rsidR="00DD11D6" w:rsidRDefault="009D0B36">
      <w:pPr>
        <w:spacing w:line="320" w:lineRule="atLeast"/>
      </w:pPr>
      <w:r w:rsidRPr="00AB4E47">
        <w:rPr>
          <w:b/>
          <w:bCs/>
          <w:noProof/>
        </w:rPr>
        <mc:AlternateContent>
          <mc:Choice Requires="wps">
            <w:drawing>
              <wp:anchor distT="45720" distB="45720" distL="114300" distR="114300" simplePos="0" relativeHeight="251664384" behindDoc="0" locked="0" layoutInCell="1" allowOverlap="1" wp14:anchorId="44C91934" wp14:editId="59A0CDC4">
                <wp:simplePos x="0" y="0"/>
                <wp:positionH relativeFrom="margin">
                  <wp:posOffset>4398010</wp:posOffset>
                </wp:positionH>
                <wp:positionV relativeFrom="paragraph">
                  <wp:posOffset>18415</wp:posOffset>
                </wp:positionV>
                <wp:extent cx="1951355" cy="3117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11785"/>
                        </a:xfrm>
                        <a:prstGeom prst="rect">
                          <a:avLst/>
                        </a:prstGeom>
                        <a:solidFill>
                          <a:srgbClr val="FFFFFF"/>
                        </a:solidFill>
                        <a:ln w="9525">
                          <a:noFill/>
                          <a:miter lim="800000"/>
                          <a:headEnd/>
                          <a:tailEnd/>
                        </a:ln>
                      </wps:spPr>
                      <wps:txbx>
                        <w:txbxContent>
                          <w:p w14:paraId="09EF9611" w14:textId="77777777" w:rsidR="009D0B36" w:rsidRPr="00AE4888" w:rsidRDefault="009D0B36" w:rsidP="009D0B36">
                            <w:pPr>
                              <w:jc w:val="right"/>
                              <w:rPr>
                                <w:b/>
                                <w:bCs/>
                                <w:sz w:val="22"/>
                                <w:szCs w:val="18"/>
                              </w:rPr>
                            </w:pPr>
                            <w:r w:rsidRPr="00AE4888">
                              <w:rPr>
                                <w:b/>
                                <w:bCs/>
                                <w:sz w:val="22"/>
                                <w:szCs w:val="18"/>
                              </w:rPr>
                              <w:t>Change from 2021 to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 id="_x0000_s1029" style="position:absolute;margin-left:346.3pt;margin-top:1.45pt;width:153.65pt;height:2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" w14:anchorId="44C91934">
                <v:textbox>
                  <w:txbxContent>
                    <w:p w:rsidRPr="00AE4888" w:rsidR="009D0B36" w:rsidP="009D0B36" w:rsidRDefault="009D0B36" w14:paraId="09EF9611" w14:textId="77777777">
                      <w:pPr>
                        <w:jc w:val="right"/>
                        <w:rPr>
                          <w:b/>
                          <w:bCs/>
                          <w:sz w:val="22"/>
                          <w:szCs w:val="18"/>
                        </w:rPr>
                      </w:pPr>
                      <w:r w:rsidRPr="00AE4888">
                        <w:rPr>
                          <w:b/>
                          <w:bCs/>
                          <w:sz w:val="22"/>
                          <w:szCs w:val="18"/>
                        </w:rPr>
                        <w:t>Change from 2021 to 2022</w:t>
                      </w:r>
                    </w:p>
                  </w:txbxContent>
                </v:textbox>
                <w10:wrap type="square" anchorx="margin"/>
              </v:shape>
            </w:pict>
          </mc:Fallback>
        </mc:AlternateContent>
      </w:r>
    </w:p>
    <w:tbl>
      <w:tblPr>
        <w:tblW w:w="6743" w:type="dxa"/>
        <w:tblLook w:val="04A0" w:firstRow="1" w:lastRow="0" w:firstColumn="1" w:lastColumn="0" w:noHBand="0" w:noVBand="1"/>
      </w:tblPr>
      <w:tblGrid>
        <w:gridCol w:w="3428"/>
        <w:gridCol w:w="1089"/>
        <w:gridCol w:w="1425"/>
        <w:gridCol w:w="801"/>
      </w:tblGrid>
      <w:tr w:rsidR="009D0B36" w:rsidRPr="00BA26AA" w14:paraId="7752F4E9" w14:textId="77777777" w:rsidTr="009D0B36">
        <w:trPr>
          <w:trHeight w:val="262"/>
        </w:trPr>
        <w:tc>
          <w:tcPr>
            <w:tcW w:w="5942" w:type="dxa"/>
            <w:gridSpan w:val="3"/>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88F8B8A" w14:textId="77777777" w:rsidR="00BA26AA" w:rsidRPr="00BA26AA" w:rsidRDefault="00BA26AA" w:rsidP="00BA26AA">
            <w:pPr>
              <w:spacing w:line="240" w:lineRule="auto"/>
              <w:jc w:val="center"/>
              <w:rPr>
                <w:rFonts w:cs="Arial"/>
                <w:color w:val="000000"/>
                <w:sz w:val="20"/>
                <w:lang w:eastAsia="en-GB"/>
              </w:rPr>
            </w:pPr>
            <w:r w:rsidRPr="00BA26AA">
              <w:rPr>
                <w:rFonts w:cs="Arial"/>
                <w:color w:val="000000"/>
                <w:sz w:val="20"/>
                <w:lang w:eastAsia="en-GB"/>
              </w:rPr>
              <w:t> </w:t>
            </w:r>
          </w:p>
        </w:tc>
        <w:tc>
          <w:tcPr>
            <w:tcW w:w="801"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5E90434" w14:textId="77777777" w:rsidR="00BA26AA" w:rsidRPr="00BA26AA" w:rsidRDefault="00BA26AA" w:rsidP="00BA26AA">
            <w:pPr>
              <w:spacing w:line="240" w:lineRule="auto"/>
              <w:jc w:val="center"/>
              <w:rPr>
                <w:rFonts w:cs="Arial"/>
                <w:b/>
                <w:bCs/>
                <w:color w:val="FFFFFF"/>
                <w:sz w:val="20"/>
                <w:lang w:eastAsia="en-GB"/>
              </w:rPr>
            </w:pPr>
            <w:r w:rsidRPr="00BA26AA">
              <w:rPr>
                <w:rFonts w:cs="Arial"/>
                <w:b/>
                <w:bCs/>
                <w:color w:val="FFFFFF"/>
                <w:sz w:val="20"/>
                <w:lang w:eastAsia="en-GB"/>
              </w:rPr>
              <w:t>%</w:t>
            </w:r>
          </w:p>
        </w:tc>
      </w:tr>
      <w:tr w:rsidR="00BA26AA" w:rsidRPr="00BA26AA" w14:paraId="13C20E55" w14:textId="77777777" w:rsidTr="009D0B36">
        <w:trPr>
          <w:trHeight w:val="262"/>
        </w:trPr>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8A8D6C"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1. Mean ethnicity pay gap - Ordinary pay</w:t>
            </w:r>
          </w:p>
        </w:tc>
        <w:tc>
          <w:tcPr>
            <w:tcW w:w="801" w:type="dxa"/>
            <w:tcBorders>
              <w:top w:val="nil"/>
              <w:left w:val="nil"/>
              <w:bottom w:val="single" w:sz="4" w:space="0" w:color="auto"/>
              <w:right w:val="single" w:sz="4" w:space="0" w:color="auto"/>
            </w:tcBorders>
            <w:shd w:val="clear" w:color="000000" w:fill="FFFFFF"/>
            <w:noWrap/>
            <w:vAlign w:val="bottom"/>
            <w:hideMark/>
          </w:tcPr>
          <w:p w14:paraId="12604EF7"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-4.0%</w:t>
            </w:r>
          </w:p>
        </w:tc>
      </w:tr>
      <w:tr w:rsidR="00BA26AA" w:rsidRPr="00BA26AA" w14:paraId="637098AD" w14:textId="77777777" w:rsidTr="009D0B36">
        <w:trPr>
          <w:trHeight w:val="262"/>
        </w:trPr>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AC99FD"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2. Median ethnicity pay gap - Ordinary pay</w:t>
            </w:r>
          </w:p>
        </w:tc>
        <w:tc>
          <w:tcPr>
            <w:tcW w:w="801" w:type="dxa"/>
            <w:tcBorders>
              <w:top w:val="nil"/>
              <w:left w:val="nil"/>
              <w:bottom w:val="single" w:sz="4" w:space="0" w:color="auto"/>
              <w:right w:val="single" w:sz="4" w:space="0" w:color="auto"/>
            </w:tcBorders>
            <w:shd w:val="clear" w:color="000000" w:fill="FFFFFF"/>
            <w:noWrap/>
            <w:vAlign w:val="bottom"/>
            <w:hideMark/>
          </w:tcPr>
          <w:p w14:paraId="769C40D8"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-5.6%</w:t>
            </w:r>
          </w:p>
        </w:tc>
      </w:tr>
      <w:tr w:rsidR="00BA26AA" w:rsidRPr="00BA26AA" w14:paraId="01880EC8" w14:textId="77777777" w:rsidTr="009D0B36">
        <w:trPr>
          <w:trHeight w:val="262"/>
        </w:trPr>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9E0893"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3. Mean ethnicity pay gap - Bonus pay in the 12 months ending 31 March</w:t>
            </w:r>
          </w:p>
        </w:tc>
        <w:tc>
          <w:tcPr>
            <w:tcW w:w="801" w:type="dxa"/>
            <w:tcBorders>
              <w:top w:val="nil"/>
              <w:left w:val="nil"/>
              <w:bottom w:val="single" w:sz="4" w:space="0" w:color="auto"/>
              <w:right w:val="single" w:sz="4" w:space="0" w:color="auto"/>
            </w:tcBorders>
            <w:shd w:val="clear" w:color="000000" w:fill="FFFFFF"/>
            <w:noWrap/>
            <w:vAlign w:val="bottom"/>
            <w:hideMark/>
          </w:tcPr>
          <w:p w14:paraId="56BBE68A"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16.4%</w:t>
            </w:r>
          </w:p>
        </w:tc>
      </w:tr>
      <w:tr w:rsidR="00BA26AA" w:rsidRPr="00BA26AA" w14:paraId="3A9D2976" w14:textId="77777777" w:rsidTr="009D0B36">
        <w:trPr>
          <w:trHeight w:val="262"/>
        </w:trPr>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ABCF8B"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4. Median ethnicity pay gap - Bonus pay in the 12 months ending 31 March</w:t>
            </w:r>
          </w:p>
        </w:tc>
        <w:tc>
          <w:tcPr>
            <w:tcW w:w="801" w:type="dxa"/>
            <w:tcBorders>
              <w:top w:val="nil"/>
              <w:left w:val="nil"/>
              <w:bottom w:val="single" w:sz="4" w:space="0" w:color="auto"/>
              <w:right w:val="single" w:sz="4" w:space="0" w:color="auto"/>
            </w:tcBorders>
            <w:shd w:val="clear" w:color="000000" w:fill="FFFFFF"/>
            <w:noWrap/>
            <w:vAlign w:val="bottom"/>
            <w:hideMark/>
          </w:tcPr>
          <w:p w14:paraId="6945ECDF"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0.0%</w:t>
            </w:r>
          </w:p>
        </w:tc>
      </w:tr>
      <w:tr w:rsidR="009D0B36" w:rsidRPr="00BA26AA" w14:paraId="26A1B0AC" w14:textId="77777777" w:rsidTr="009D0B36">
        <w:trPr>
          <w:trHeight w:val="277"/>
        </w:trPr>
        <w:tc>
          <w:tcPr>
            <w:tcW w:w="451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A4C76C6"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5. The proportion of Non BME and BME employees paid a bonus in the 12 months ending 31 March</w:t>
            </w:r>
          </w:p>
        </w:tc>
        <w:tc>
          <w:tcPr>
            <w:tcW w:w="1425" w:type="dxa"/>
            <w:tcBorders>
              <w:top w:val="nil"/>
              <w:left w:val="nil"/>
              <w:bottom w:val="single" w:sz="4" w:space="0" w:color="auto"/>
              <w:right w:val="single" w:sz="4" w:space="0" w:color="auto"/>
            </w:tcBorders>
            <w:shd w:val="clear" w:color="000000" w:fill="FFFFFF"/>
            <w:noWrap/>
            <w:vAlign w:val="bottom"/>
            <w:hideMark/>
          </w:tcPr>
          <w:p w14:paraId="22755AC8"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Non BME</w:t>
            </w:r>
          </w:p>
        </w:tc>
        <w:tc>
          <w:tcPr>
            <w:tcW w:w="801" w:type="dxa"/>
            <w:tcBorders>
              <w:top w:val="nil"/>
              <w:left w:val="nil"/>
              <w:bottom w:val="single" w:sz="4" w:space="0" w:color="auto"/>
              <w:right w:val="single" w:sz="4" w:space="0" w:color="auto"/>
            </w:tcBorders>
            <w:shd w:val="clear" w:color="000000" w:fill="FFFFFF"/>
            <w:noWrap/>
            <w:vAlign w:val="bottom"/>
            <w:hideMark/>
          </w:tcPr>
          <w:p w14:paraId="0B285DC3"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76.3%</w:t>
            </w:r>
          </w:p>
        </w:tc>
      </w:tr>
      <w:tr w:rsidR="009D0B36" w:rsidRPr="00BA26AA" w14:paraId="09F8C3F4" w14:textId="77777777" w:rsidTr="009D0B36">
        <w:trPr>
          <w:trHeight w:val="262"/>
        </w:trPr>
        <w:tc>
          <w:tcPr>
            <w:tcW w:w="4517" w:type="dxa"/>
            <w:gridSpan w:val="2"/>
            <w:vMerge/>
            <w:tcBorders>
              <w:top w:val="single" w:sz="4" w:space="0" w:color="auto"/>
              <w:left w:val="single" w:sz="4" w:space="0" w:color="auto"/>
              <w:bottom w:val="single" w:sz="4" w:space="0" w:color="000000"/>
              <w:right w:val="single" w:sz="4" w:space="0" w:color="000000"/>
            </w:tcBorders>
            <w:vAlign w:val="center"/>
            <w:hideMark/>
          </w:tcPr>
          <w:p w14:paraId="24037E1E" w14:textId="77777777" w:rsidR="00BA26AA" w:rsidRPr="00BA26AA" w:rsidRDefault="00BA26AA" w:rsidP="00BA26AA">
            <w:pPr>
              <w:spacing w:line="240" w:lineRule="auto"/>
              <w:rPr>
                <w:rFonts w:cs="Arial"/>
                <w:color w:val="000000"/>
                <w:sz w:val="20"/>
                <w:lang w:eastAsia="en-GB"/>
              </w:rPr>
            </w:pPr>
          </w:p>
        </w:tc>
        <w:tc>
          <w:tcPr>
            <w:tcW w:w="1425" w:type="dxa"/>
            <w:tcBorders>
              <w:top w:val="nil"/>
              <w:left w:val="nil"/>
              <w:bottom w:val="single" w:sz="4" w:space="0" w:color="auto"/>
              <w:right w:val="single" w:sz="4" w:space="0" w:color="auto"/>
            </w:tcBorders>
            <w:shd w:val="clear" w:color="000000" w:fill="FFFFFF"/>
            <w:noWrap/>
            <w:vAlign w:val="bottom"/>
            <w:hideMark/>
          </w:tcPr>
          <w:p w14:paraId="350A1140"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BME</w:t>
            </w:r>
          </w:p>
        </w:tc>
        <w:tc>
          <w:tcPr>
            <w:tcW w:w="801" w:type="dxa"/>
            <w:tcBorders>
              <w:top w:val="nil"/>
              <w:left w:val="nil"/>
              <w:bottom w:val="single" w:sz="4" w:space="0" w:color="auto"/>
              <w:right w:val="single" w:sz="4" w:space="0" w:color="auto"/>
            </w:tcBorders>
            <w:shd w:val="clear" w:color="000000" w:fill="FFFFFF"/>
            <w:noWrap/>
            <w:vAlign w:val="bottom"/>
            <w:hideMark/>
          </w:tcPr>
          <w:p w14:paraId="5E44A19C" w14:textId="77777777" w:rsidR="00BA26AA" w:rsidRPr="00BA26AA" w:rsidRDefault="00BA26AA" w:rsidP="00BA26AA">
            <w:pPr>
              <w:spacing w:line="240" w:lineRule="auto"/>
              <w:jc w:val="right"/>
              <w:rPr>
                <w:rFonts w:cs="Arial"/>
                <w:b/>
                <w:bCs/>
                <w:sz w:val="20"/>
                <w:lang w:eastAsia="en-GB"/>
              </w:rPr>
            </w:pPr>
            <w:r w:rsidRPr="00BA26AA">
              <w:rPr>
                <w:rFonts w:cs="Arial"/>
                <w:b/>
                <w:bCs/>
                <w:sz w:val="20"/>
                <w:lang w:eastAsia="en-GB"/>
              </w:rPr>
              <w:t>63.5%</w:t>
            </w:r>
          </w:p>
        </w:tc>
      </w:tr>
      <w:tr w:rsidR="00BA26AA" w:rsidRPr="00BA26AA" w14:paraId="44FE0394" w14:textId="77777777" w:rsidTr="009D0B36">
        <w:trPr>
          <w:trHeight w:val="262"/>
        </w:trPr>
        <w:tc>
          <w:tcPr>
            <w:tcW w:w="67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18CC" w14:textId="77777777" w:rsidR="00BA26AA" w:rsidRPr="00BA26AA" w:rsidRDefault="00BA26AA" w:rsidP="00BA26AA">
            <w:pPr>
              <w:spacing w:line="240" w:lineRule="auto"/>
              <w:rPr>
                <w:rFonts w:cs="Arial"/>
                <w:sz w:val="20"/>
                <w:lang w:eastAsia="en-GB"/>
              </w:rPr>
            </w:pPr>
            <w:r w:rsidRPr="00BA26AA">
              <w:rPr>
                <w:rFonts w:cs="Arial"/>
                <w:sz w:val="20"/>
                <w:lang w:eastAsia="en-GB"/>
              </w:rPr>
              <w:t>6. Proportion of Non BME and BME employees in each quartile:</w:t>
            </w:r>
          </w:p>
        </w:tc>
      </w:tr>
      <w:tr w:rsidR="009D0B36" w:rsidRPr="00BA26AA" w14:paraId="44BAFDAE" w14:textId="77777777" w:rsidTr="009D0B36">
        <w:trPr>
          <w:trHeight w:val="262"/>
        </w:trPr>
        <w:tc>
          <w:tcPr>
            <w:tcW w:w="3428" w:type="dxa"/>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14:paraId="5FDC2AD1" w14:textId="77777777" w:rsidR="00BA26AA" w:rsidRPr="00BA26AA" w:rsidRDefault="00BA26AA" w:rsidP="00BA26AA">
            <w:pPr>
              <w:spacing w:line="240" w:lineRule="auto"/>
              <w:jc w:val="center"/>
              <w:rPr>
                <w:rFonts w:cs="Arial"/>
                <w:b/>
                <w:bCs/>
                <w:color w:val="FFFFFF"/>
                <w:sz w:val="20"/>
                <w:lang w:eastAsia="en-GB"/>
              </w:rPr>
            </w:pPr>
            <w:r w:rsidRPr="00BA26AA">
              <w:rPr>
                <w:rFonts w:cs="Arial"/>
                <w:b/>
                <w:bCs/>
                <w:color w:val="FFFFFF"/>
                <w:sz w:val="20"/>
                <w:lang w:eastAsia="en-GB"/>
              </w:rPr>
              <w:t>Quartile</w:t>
            </w:r>
          </w:p>
        </w:tc>
        <w:tc>
          <w:tcPr>
            <w:tcW w:w="1089" w:type="dxa"/>
            <w:tcBorders>
              <w:top w:val="single" w:sz="4" w:space="0" w:color="auto"/>
              <w:left w:val="nil"/>
              <w:bottom w:val="single" w:sz="4" w:space="0" w:color="auto"/>
              <w:right w:val="single" w:sz="4" w:space="0" w:color="000000"/>
            </w:tcBorders>
            <w:shd w:val="clear" w:color="auto" w:fill="000000" w:themeFill="text1"/>
            <w:noWrap/>
            <w:vAlign w:val="center"/>
            <w:hideMark/>
          </w:tcPr>
          <w:p w14:paraId="1C637CE7" w14:textId="77777777" w:rsidR="00BA26AA" w:rsidRPr="00BA26AA" w:rsidRDefault="00BA26AA" w:rsidP="00BA26AA">
            <w:pPr>
              <w:spacing w:line="240" w:lineRule="auto"/>
              <w:jc w:val="center"/>
              <w:rPr>
                <w:rFonts w:cs="Arial"/>
                <w:b/>
                <w:bCs/>
                <w:color w:val="FFFFFF"/>
                <w:sz w:val="20"/>
                <w:lang w:eastAsia="en-GB"/>
              </w:rPr>
            </w:pPr>
            <w:r w:rsidRPr="00BA26AA">
              <w:rPr>
                <w:rFonts w:cs="Arial"/>
                <w:b/>
                <w:bCs/>
                <w:color w:val="FFFFFF"/>
                <w:sz w:val="20"/>
                <w:lang w:eastAsia="en-GB"/>
              </w:rPr>
              <w:t>BME %</w:t>
            </w:r>
          </w:p>
        </w:tc>
        <w:tc>
          <w:tcPr>
            <w:tcW w:w="2226" w:type="dxa"/>
            <w:gridSpan w:val="2"/>
            <w:tcBorders>
              <w:top w:val="single" w:sz="4" w:space="0" w:color="auto"/>
              <w:left w:val="nil"/>
              <w:bottom w:val="single" w:sz="4" w:space="0" w:color="auto"/>
              <w:right w:val="single" w:sz="4" w:space="0" w:color="000000"/>
            </w:tcBorders>
            <w:shd w:val="clear" w:color="auto" w:fill="000000" w:themeFill="text1"/>
            <w:noWrap/>
            <w:vAlign w:val="center"/>
            <w:hideMark/>
          </w:tcPr>
          <w:p w14:paraId="2FBB6FC1" w14:textId="77777777" w:rsidR="00BA26AA" w:rsidRPr="00BA26AA" w:rsidRDefault="00BA26AA" w:rsidP="00BA26AA">
            <w:pPr>
              <w:spacing w:line="240" w:lineRule="auto"/>
              <w:jc w:val="center"/>
              <w:rPr>
                <w:rFonts w:cs="Arial"/>
                <w:b/>
                <w:bCs/>
                <w:color w:val="FFFFFF"/>
                <w:sz w:val="20"/>
                <w:lang w:eastAsia="en-GB"/>
              </w:rPr>
            </w:pPr>
            <w:r w:rsidRPr="00BA26AA">
              <w:rPr>
                <w:rFonts w:cs="Arial"/>
                <w:b/>
                <w:bCs/>
                <w:color w:val="FFFFFF"/>
                <w:sz w:val="20"/>
                <w:lang w:eastAsia="en-GB"/>
              </w:rPr>
              <w:t>Non BME %</w:t>
            </w:r>
          </w:p>
        </w:tc>
      </w:tr>
      <w:tr w:rsidR="009D0B36" w:rsidRPr="00BA26AA" w14:paraId="0FEB9F97" w14:textId="77777777" w:rsidTr="009D0B36">
        <w:trPr>
          <w:trHeight w:val="262"/>
        </w:trPr>
        <w:tc>
          <w:tcPr>
            <w:tcW w:w="342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A2C963"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First (lower) quartile</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0414B841"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11.3%</w:t>
            </w:r>
          </w:p>
        </w:tc>
        <w:tc>
          <w:tcPr>
            <w:tcW w:w="222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ED4E8F"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88.8%</w:t>
            </w:r>
          </w:p>
        </w:tc>
      </w:tr>
      <w:tr w:rsidR="009D0B36" w:rsidRPr="00BA26AA" w14:paraId="19809778" w14:textId="77777777" w:rsidTr="009D0B36">
        <w:trPr>
          <w:trHeight w:val="262"/>
        </w:trPr>
        <w:tc>
          <w:tcPr>
            <w:tcW w:w="342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561CF3"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Second quartile</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4BA17FDA"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6.3%</w:t>
            </w:r>
          </w:p>
        </w:tc>
        <w:tc>
          <w:tcPr>
            <w:tcW w:w="222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B2A56A"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93.8%</w:t>
            </w:r>
          </w:p>
        </w:tc>
      </w:tr>
      <w:tr w:rsidR="009D0B36" w:rsidRPr="00BA26AA" w14:paraId="584DDB7B" w14:textId="77777777" w:rsidTr="009D0B36">
        <w:trPr>
          <w:trHeight w:val="262"/>
        </w:trPr>
        <w:tc>
          <w:tcPr>
            <w:tcW w:w="342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53FA6C4"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Third quartile</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25ED94AE"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16.1%</w:t>
            </w:r>
          </w:p>
        </w:tc>
        <w:tc>
          <w:tcPr>
            <w:tcW w:w="222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6DAB35"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83.9%</w:t>
            </w:r>
          </w:p>
        </w:tc>
      </w:tr>
      <w:tr w:rsidR="009D0B36" w:rsidRPr="00BA26AA" w14:paraId="139C0757" w14:textId="77777777" w:rsidTr="009D0B36">
        <w:trPr>
          <w:trHeight w:val="262"/>
        </w:trPr>
        <w:tc>
          <w:tcPr>
            <w:tcW w:w="3428"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E9E59C" w14:textId="77777777" w:rsidR="00BA26AA" w:rsidRPr="00BA26AA" w:rsidRDefault="00BA26AA" w:rsidP="00BA26AA">
            <w:pPr>
              <w:spacing w:line="240" w:lineRule="auto"/>
              <w:rPr>
                <w:rFonts w:cs="Arial"/>
                <w:color w:val="000000"/>
                <w:sz w:val="20"/>
                <w:lang w:eastAsia="en-GB"/>
              </w:rPr>
            </w:pPr>
            <w:r w:rsidRPr="00BA26AA">
              <w:rPr>
                <w:rFonts w:cs="Arial"/>
                <w:color w:val="000000"/>
                <w:sz w:val="20"/>
                <w:lang w:eastAsia="en-GB"/>
              </w:rPr>
              <w:t>Fourth (upper) quartile</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14:paraId="511A690A"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22.4%</w:t>
            </w:r>
          </w:p>
        </w:tc>
        <w:tc>
          <w:tcPr>
            <w:tcW w:w="222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3C7687" w14:textId="77777777" w:rsidR="00BA26AA" w:rsidRPr="00BA26AA" w:rsidRDefault="00BA26AA" w:rsidP="00BA26AA">
            <w:pPr>
              <w:spacing w:line="240" w:lineRule="auto"/>
              <w:jc w:val="center"/>
              <w:rPr>
                <w:rFonts w:cs="Arial"/>
                <w:b/>
                <w:bCs/>
                <w:color w:val="000000"/>
                <w:sz w:val="20"/>
                <w:lang w:eastAsia="en-GB"/>
              </w:rPr>
            </w:pPr>
            <w:r w:rsidRPr="00BA26AA">
              <w:rPr>
                <w:rFonts w:cs="Arial"/>
                <w:b/>
                <w:bCs/>
                <w:color w:val="000000"/>
                <w:sz w:val="20"/>
                <w:lang w:eastAsia="en-GB"/>
              </w:rPr>
              <w:t>77.6%</w:t>
            </w:r>
          </w:p>
        </w:tc>
      </w:tr>
    </w:tbl>
    <w:tbl>
      <w:tblPr>
        <w:tblpPr w:leftFromText="180" w:rightFromText="180" w:vertAnchor="text" w:horzAnchor="page" w:tblpX="8443" w:tblpY="-4097"/>
        <w:tblW w:w="3114" w:type="dxa"/>
        <w:tblLook w:val="04A0" w:firstRow="1" w:lastRow="0" w:firstColumn="1" w:lastColumn="0" w:noHBand="0" w:noVBand="1"/>
      </w:tblPr>
      <w:tblGrid>
        <w:gridCol w:w="2178"/>
        <w:gridCol w:w="936"/>
      </w:tblGrid>
      <w:tr w:rsidR="00DE3A72" w:rsidRPr="00D12E49" w14:paraId="5DCD2EB9" w14:textId="77777777" w:rsidTr="00DE3A72">
        <w:trPr>
          <w:trHeight w:val="269"/>
        </w:trPr>
        <w:tc>
          <w:tcPr>
            <w:tcW w:w="217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AC0F0F9" w14:textId="77777777" w:rsidR="009D0B36" w:rsidRPr="00D12E49" w:rsidRDefault="009D0B36" w:rsidP="009D0B36">
            <w:pPr>
              <w:spacing w:line="240" w:lineRule="auto"/>
              <w:rPr>
                <w:rFonts w:cs="Arial"/>
                <w:b/>
                <w:bCs/>
                <w:color w:val="FFFFFF"/>
                <w:sz w:val="20"/>
                <w:lang w:eastAsia="en-GB"/>
              </w:rPr>
            </w:pPr>
            <w:r w:rsidRPr="00D12E49">
              <w:rPr>
                <w:rFonts w:cs="Arial"/>
                <w:b/>
                <w:bCs/>
                <w:color w:val="FFFFFF"/>
                <w:sz w:val="20"/>
                <w:lang w:eastAsia="en-GB"/>
              </w:rPr>
              <w:t> </w:t>
            </w:r>
          </w:p>
        </w:tc>
        <w:tc>
          <w:tcPr>
            <w:tcW w:w="93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6E94372" w14:textId="77777777" w:rsidR="009D0B36" w:rsidRPr="00D12E49" w:rsidRDefault="009D0B36" w:rsidP="009D0B36">
            <w:pPr>
              <w:spacing w:line="240" w:lineRule="auto"/>
              <w:jc w:val="center"/>
              <w:rPr>
                <w:rFonts w:cs="Arial"/>
                <w:b/>
                <w:bCs/>
                <w:color w:val="FFFFFF"/>
                <w:sz w:val="20"/>
                <w:lang w:eastAsia="en-GB"/>
              </w:rPr>
            </w:pPr>
            <w:r w:rsidRPr="00D12E49">
              <w:rPr>
                <w:rFonts w:cs="Arial"/>
                <w:b/>
                <w:bCs/>
                <w:color w:val="FFFFFF"/>
                <w:sz w:val="20"/>
                <w:lang w:eastAsia="en-GB"/>
              </w:rPr>
              <w:t>%</w:t>
            </w:r>
          </w:p>
        </w:tc>
      </w:tr>
      <w:tr w:rsidR="009D0B36" w:rsidRPr="00D12E49" w14:paraId="720B0333"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238665E5"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Mean</w:t>
            </w:r>
          </w:p>
        </w:tc>
        <w:tc>
          <w:tcPr>
            <w:tcW w:w="936" w:type="dxa"/>
            <w:tcBorders>
              <w:top w:val="nil"/>
              <w:left w:val="nil"/>
              <w:bottom w:val="single" w:sz="4" w:space="0" w:color="auto"/>
              <w:right w:val="single" w:sz="4" w:space="0" w:color="auto"/>
            </w:tcBorders>
            <w:shd w:val="clear" w:color="000000" w:fill="FFFFFF"/>
            <w:noWrap/>
            <w:vAlign w:val="bottom"/>
            <w:hideMark/>
          </w:tcPr>
          <w:p w14:paraId="75FFD13D"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-3.3%</w:t>
            </w:r>
          </w:p>
        </w:tc>
      </w:tr>
      <w:tr w:rsidR="009D0B36" w:rsidRPr="00D12E49" w14:paraId="4ED4B7BF"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2B86A70D"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Median</w:t>
            </w:r>
          </w:p>
        </w:tc>
        <w:tc>
          <w:tcPr>
            <w:tcW w:w="936" w:type="dxa"/>
            <w:tcBorders>
              <w:top w:val="nil"/>
              <w:left w:val="nil"/>
              <w:bottom w:val="single" w:sz="4" w:space="0" w:color="auto"/>
              <w:right w:val="single" w:sz="4" w:space="0" w:color="auto"/>
            </w:tcBorders>
            <w:shd w:val="clear" w:color="000000" w:fill="FFFFFF"/>
            <w:noWrap/>
            <w:vAlign w:val="bottom"/>
            <w:hideMark/>
          </w:tcPr>
          <w:p w14:paraId="67C36A5F"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-1.4%</w:t>
            </w:r>
          </w:p>
        </w:tc>
      </w:tr>
      <w:tr w:rsidR="009D0B36" w:rsidRPr="00D12E49" w14:paraId="276FCA52"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5199F02E"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Bonus - Mean</w:t>
            </w:r>
          </w:p>
        </w:tc>
        <w:tc>
          <w:tcPr>
            <w:tcW w:w="936" w:type="dxa"/>
            <w:tcBorders>
              <w:top w:val="nil"/>
              <w:left w:val="nil"/>
              <w:bottom w:val="single" w:sz="4" w:space="0" w:color="auto"/>
              <w:right w:val="single" w:sz="4" w:space="0" w:color="auto"/>
            </w:tcBorders>
            <w:shd w:val="clear" w:color="000000" w:fill="FFFFFF"/>
            <w:noWrap/>
            <w:vAlign w:val="bottom"/>
            <w:hideMark/>
          </w:tcPr>
          <w:p w14:paraId="199FEDBA"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-1.1%</w:t>
            </w:r>
          </w:p>
        </w:tc>
      </w:tr>
      <w:tr w:rsidR="009D0B36" w:rsidRPr="00D12E49" w14:paraId="6C1789C0"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06B165CA"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Bonus - Median</w:t>
            </w:r>
          </w:p>
        </w:tc>
        <w:tc>
          <w:tcPr>
            <w:tcW w:w="936" w:type="dxa"/>
            <w:tcBorders>
              <w:top w:val="nil"/>
              <w:left w:val="nil"/>
              <w:bottom w:val="single" w:sz="4" w:space="0" w:color="auto"/>
              <w:right w:val="single" w:sz="4" w:space="0" w:color="auto"/>
            </w:tcBorders>
            <w:shd w:val="clear" w:color="000000" w:fill="FFFFFF"/>
            <w:noWrap/>
            <w:vAlign w:val="bottom"/>
            <w:hideMark/>
          </w:tcPr>
          <w:p w14:paraId="5E9A9A1F"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0.0%</w:t>
            </w:r>
          </w:p>
        </w:tc>
      </w:tr>
      <w:tr w:rsidR="009D0B36" w:rsidRPr="00D12E49" w14:paraId="7082B3B0" w14:textId="77777777" w:rsidTr="00DE3A72">
        <w:trPr>
          <w:trHeight w:val="283"/>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5E0C7991"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 Bonus - Non BME</w:t>
            </w:r>
          </w:p>
        </w:tc>
        <w:tc>
          <w:tcPr>
            <w:tcW w:w="936" w:type="dxa"/>
            <w:tcBorders>
              <w:top w:val="nil"/>
              <w:left w:val="nil"/>
              <w:bottom w:val="single" w:sz="4" w:space="0" w:color="auto"/>
              <w:right w:val="single" w:sz="4" w:space="0" w:color="auto"/>
            </w:tcBorders>
            <w:shd w:val="clear" w:color="000000" w:fill="FFFFFF"/>
            <w:noWrap/>
            <w:vAlign w:val="bottom"/>
            <w:hideMark/>
          </w:tcPr>
          <w:p w14:paraId="1FA0A265"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-17.7%</w:t>
            </w:r>
          </w:p>
        </w:tc>
      </w:tr>
      <w:tr w:rsidR="009D0B36" w:rsidRPr="00D12E49" w14:paraId="74D2DDD6"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61344D37"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 Bonus - BME</w:t>
            </w:r>
          </w:p>
        </w:tc>
        <w:tc>
          <w:tcPr>
            <w:tcW w:w="936" w:type="dxa"/>
            <w:tcBorders>
              <w:top w:val="nil"/>
              <w:left w:val="nil"/>
              <w:bottom w:val="single" w:sz="4" w:space="0" w:color="auto"/>
              <w:right w:val="single" w:sz="4" w:space="0" w:color="auto"/>
            </w:tcBorders>
            <w:shd w:val="clear" w:color="000000" w:fill="FFFFFF"/>
            <w:noWrap/>
            <w:vAlign w:val="bottom"/>
            <w:hideMark/>
          </w:tcPr>
          <w:p w14:paraId="2E830E93"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-14.9%</w:t>
            </w:r>
          </w:p>
        </w:tc>
      </w:tr>
      <w:tr w:rsidR="009D0B36" w:rsidRPr="00D12E49" w14:paraId="41832AF2" w14:textId="77777777" w:rsidTr="00DE3A72">
        <w:trPr>
          <w:trHeight w:val="269"/>
        </w:trPr>
        <w:tc>
          <w:tcPr>
            <w:tcW w:w="2178" w:type="dxa"/>
            <w:tcBorders>
              <w:top w:val="nil"/>
              <w:left w:val="nil"/>
              <w:bottom w:val="nil"/>
              <w:right w:val="nil"/>
            </w:tcBorders>
            <w:shd w:val="clear" w:color="000000" w:fill="FFFFFF"/>
            <w:noWrap/>
            <w:vAlign w:val="bottom"/>
            <w:hideMark/>
          </w:tcPr>
          <w:p w14:paraId="58956309"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 </w:t>
            </w:r>
          </w:p>
        </w:tc>
        <w:tc>
          <w:tcPr>
            <w:tcW w:w="936" w:type="dxa"/>
            <w:tcBorders>
              <w:top w:val="nil"/>
              <w:left w:val="nil"/>
              <w:bottom w:val="nil"/>
              <w:right w:val="nil"/>
            </w:tcBorders>
            <w:shd w:val="clear" w:color="000000" w:fill="FFFFFF"/>
            <w:noWrap/>
            <w:vAlign w:val="bottom"/>
            <w:hideMark/>
          </w:tcPr>
          <w:p w14:paraId="760539B1"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 </w:t>
            </w:r>
          </w:p>
        </w:tc>
      </w:tr>
      <w:tr w:rsidR="00DE3A72" w:rsidRPr="00D12E49" w14:paraId="3F38C417" w14:textId="77777777" w:rsidTr="00DE3A72">
        <w:trPr>
          <w:trHeight w:val="269"/>
        </w:trPr>
        <w:tc>
          <w:tcPr>
            <w:tcW w:w="2178" w:type="dxa"/>
            <w:tcBorders>
              <w:top w:val="single" w:sz="4" w:space="0" w:color="auto"/>
              <w:left w:val="single" w:sz="4" w:space="0" w:color="auto"/>
              <w:bottom w:val="single" w:sz="4" w:space="0" w:color="auto"/>
              <w:right w:val="nil"/>
            </w:tcBorders>
            <w:shd w:val="clear" w:color="auto" w:fill="000000" w:themeFill="text1"/>
            <w:noWrap/>
            <w:vAlign w:val="center"/>
            <w:hideMark/>
          </w:tcPr>
          <w:p w14:paraId="60135244" w14:textId="77777777" w:rsidR="009D0B36" w:rsidRPr="00D12E49" w:rsidRDefault="009D0B36" w:rsidP="009D0B36">
            <w:pPr>
              <w:spacing w:line="240" w:lineRule="auto"/>
              <w:jc w:val="center"/>
              <w:rPr>
                <w:rFonts w:cs="Arial"/>
                <w:b/>
                <w:bCs/>
                <w:color w:val="FFFFFF"/>
                <w:sz w:val="20"/>
                <w:lang w:eastAsia="en-GB"/>
              </w:rPr>
            </w:pPr>
            <w:r w:rsidRPr="00D12E49">
              <w:rPr>
                <w:rFonts w:cs="Arial"/>
                <w:b/>
                <w:bCs/>
                <w:color w:val="FFFFFF"/>
                <w:sz w:val="20"/>
                <w:lang w:eastAsia="en-GB"/>
              </w:rPr>
              <w:t>Quartile</w:t>
            </w:r>
          </w:p>
        </w:tc>
        <w:tc>
          <w:tcPr>
            <w:tcW w:w="9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047D810" w14:textId="77777777" w:rsidR="009D0B36" w:rsidRPr="00D12E49" w:rsidRDefault="009D0B36" w:rsidP="009D0B36">
            <w:pPr>
              <w:spacing w:line="240" w:lineRule="auto"/>
              <w:jc w:val="center"/>
              <w:rPr>
                <w:rFonts w:cs="Arial"/>
                <w:b/>
                <w:bCs/>
                <w:color w:val="FFFFFF"/>
                <w:sz w:val="20"/>
                <w:lang w:eastAsia="en-GB"/>
              </w:rPr>
            </w:pPr>
            <w:r w:rsidRPr="00D12E49">
              <w:rPr>
                <w:rFonts w:cs="Arial"/>
                <w:b/>
                <w:bCs/>
                <w:color w:val="FFFFFF"/>
                <w:sz w:val="20"/>
                <w:lang w:eastAsia="en-GB"/>
              </w:rPr>
              <w:t>%</w:t>
            </w:r>
          </w:p>
        </w:tc>
      </w:tr>
      <w:tr w:rsidR="009D0B36" w:rsidRPr="00D12E49" w14:paraId="37E44B99"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7FC77DDE"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First quartile</w:t>
            </w:r>
          </w:p>
        </w:tc>
        <w:tc>
          <w:tcPr>
            <w:tcW w:w="936" w:type="dxa"/>
            <w:tcBorders>
              <w:top w:val="nil"/>
              <w:left w:val="nil"/>
              <w:bottom w:val="single" w:sz="4" w:space="0" w:color="auto"/>
              <w:right w:val="single" w:sz="4" w:space="0" w:color="auto"/>
            </w:tcBorders>
            <w:shd w:val="clear" w:color="000000" w:fill="FFFFFF"/>
            <w:noWrap/>
            <w:vAlign w:val="bottom"/>
            <w:hideMark/>
          </w:tcPr>
          <w:p w14:paraId="2334B3D9"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-5.9%</w:t>
            </w:r>
          </w:p>
        </w:tc>
      </w:tr>
      <w:tr w:rsidR="009D0B36" w:rsidRPr="00D12E49" w14:paraId="3E189166"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4C34F629"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Second quartile</w:t>
            </w:r>
          </w:p>
        </w:tc>
        <w:tc>
          <w:tcPr>
            <w:tcW w:w="936" w:type="dxa"/>
            <w:tcBorders>
              <w:top w:val="nil"/>
              <w:left w:val="nil"/>
              <w:bottom w:val="single" w:sz="4" w:space="0" w:color="auto"/>
              <w:right w:val="single" w:sz="4" w:space="0" w:color="auto"/>
            </w:tcBorders>
            <w:shd w:val="clear" w:color="000000" w:fill="FFFFFF"/>
            <w:noWrap/>
            <w:vAlign w:val="bottom"/>
            <w:hideMark/>
          </w:tcPr>
          <w:p w14:paraId="26D46AF9"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-4.0%</w:t>
            </w:r>
          </w:p>
        </w:tc>
      </w:tr>
      <w:tr w:rsidR="009D0B36" w:rsidRPr="00D12E49" w14:paraId="45E3804B"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4F8EBFB5"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Third quartile</w:t>
            </w:r>
          </w:p>
        </w:tc>
        <w:tc>
          <w:tcPr>
            <w:tcW w:w="936" w:type="dxa"/>
            <w:tcBorders>
              <w:top w:val="nil"/>
              <w:left w:val="nil"/>
              <w:bottom w:val="single" w:sz="4" w:space="0" w:color="auto"/>
              <w:right w:val="single" w:sz="4" w:space="0" w:color="auto"/>
            </w:tcBorders>
            <w:shd w:val="clear" w:color="000000" w:fill="FFFFFF"/>
            <w:noWrap/>
            <w:vAlign w:val="bottom"/>
            <w:hideMark/>
          </w:tcPr>
          <w:p w14:paraId="325D71CC"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-1.0%</w:t>
            </w:r>
          </w:p>
        </w:tc>
      </w:tr>
      <w:tr w:rsidR="009D0B36" w:rsidRPr="00D12E49" w14:paraId="419C2438" w14:textId="77777777" w:rsidTr="00DE3A72">
        <w:trPr>
          <w:trHeight w:val="269"/>
        </w:trPr>
        <w:tc>
          <w:tcPr>
            <w:tcW w:w="2178" w:type="dxa"/>
            <w:tcBorders>
              <w:top w:val="nil"/>
              <w:left w:val="single" w:sz="4" w:space="0" w:color="auto"/>
              <w:bottom w:val="single" w:sz="4" w:space="0" w:color="auto"/>
              <w:right w:val="single" w:sz="4" w:space="0" w:color="auto"/>
            </w:tcBorders>
            <w:shd w:val="clear" w:color="000000" w:fill="FFFFFF"/>
            <w:noWrap/>
            <w:vAlign w:val="bottom"/>
            <w:hideMark/>
          </w:tcPr>
          <w:p w14:paraId="43BD8746" w14:textId="77777777" w:rsidR="009D0B36" w:rsidRPr="00D12E49" w:rsidRDefault="009D0B36" w:rsidP="009D0B36">
            <w:pPr>
              <w:spacing w:line="240" w:lineRule="auto"/>
              <w:rPr>
                <w:rFonts w:cs="Arial"/>
                <w:color w:val="000000"/>
                <w:sz w:val="20"/>
                <w:lang w:eastAsia="en-GB"/>
              </w:rPr>
            </w:pPr>
            <w:r w:rsidRPr="00D12E49">
              <w:rPr>
                <w:rFonts w:cs="Arial"/>
                <w:color w:val="000000"/>
                <w:sz w:val="20"/>
                <w:lang w:eastAsia="en-GB"/>
              </w:rPr>
              <w:t>Fourth quartile</w:t>
            </w:r>
          </w:p>
        </w:tc>
        <w:tc>
          <w:tcPr>
            <w:tcW w:w="936" w:type="dxa"/>
            <w:tcBorders>
              <w:top w:val="nil"/>
              <w:left w:val="nil"/>
              <w:bottom w:val="single" w:sz="4" w:space="0" w:color="auto"/>
              <w:right w:val="single" w:sz="4" w:space="0" w:color="auto"/>
            </w:tcBorders>
            <w:shd w:val="clear" w:color="000000" w:fill="FFFFFF"/>
            <w:noWrap/>
            <w:vAlign w:val="bottom"/>
            <w:hideMark/>
          </w:tcPr>
          <w:p w14:paraId="58FB73F3" w14:textId="77777777" w:rsidR="009D0B36" w:rsidRPr="00D12E49" w:rsidRDefault="009D0B36" w:rsidP="009D0B36">
            <w:pPr>
              <w:spacing w:line="240" w:lineRule="auto"/>
              <w:jc w:val="right"/>
              <w:rPr>
                <w:rFonts w:cs="Arial"/>
                <w:color w:val="000000"/>
                <w:sz w:val="20"/>
                <w:lang w:eastAsia="en-GB"/>
              </w:rPr>
            </w:pPr>
            <w:r w:rsidRPr="00D12E49">
              <w:rPr>
                <w:rFonts w:cs="Arial"/>
                <w:color w:val="000000"/>
                <w:sz w:val="20"/>
                <w:lang w:eastAsia="en-GB"/>
              </w:rPr>
              <w:t>6.6%</w:t>
            </w:r>
          </w:p>
        </w:tc>
      </w:tr>
    </w:tbl>
    <w:p w14:paraId="4E404AD4" w14:textId="4CFB8B47" w:rsidR="00DD11D6" w:rsidRPr="00993DE6" w:rsidRDefault="00DD11D6">
      <w:pPr>
        <w:spacing w:line="320" w:lineRule="atLeast"/>
      </w:pPr>
    </w:p>
    <w:p w14:paraId="14E6C37D" w14:textId="35C48128" w:rsidR="00DD11D6" w:rsidRDefault="00DD11D6" w:rsidP="00DD11D6">
      <w:pPr>
        <w:spacing w:line="320" w:lineRule="atLeast"/>
        <w:jc w:val="both"/>
      </w:pPr>
      <w:r>
        <w:t xml:space="preserve">We should note at the outset that, as there is no statutory requirement to report an ethnicity pay gap then there is no statutory guidance on how to construct the dataset. Here, we have used the same principles of pay calculation used in the gender pay figures and applied them to two separate staff groups of </w:t>
      </w:r>
      <w:proofErr w:type="spellStart"/>
      <w:r>
        <w:t>i</w:t>
      </w:r>
      <w:proofErr w:type="spellEnd"/>
      <w:r>
        <w:t xml:space="preserve">) white British or European origin </w:t>
      </w:r>
      <w:proofErr w:type="gramStart"/>
      <w:r>
        <w:t>and,</w:t>
      </w:r>
      <w:proofErr w:type="gramEnd"/>
      <w:r>
        <w:t xml:space="preserve"> ii) Black, Asian, </w:t>
      </w:r>
      <w:r w:rsidR="3BD2F768">
        <w:t>and</w:t>
      </w:r>
      <w:r>
        <w:t xml:space="preserve"> ethnically diverse colleagues. </w:t>
      </w:r>
    </w:p>
    <w:p w14:paraId="73E64582" w14:textId="77777777" w:rsidR="00DD11D6" w:rsidRDefault="00DD11D6" w:rsidP="00DD11D6">
      <w:pPr>
        <w:spacing w:line="320" w:lineRule="atLeast"/>
        <w:jc w:val="both"/>
      </w:pPr>
    </w:p>
    <w:p w14:paraId="38AADE25" w14:textId="44AD0D40" w:rsidR="00DD11D6" w:rsidRDefault="00DD11D6" w:rsidP="00DD11D6">
      <w:pPr>
        <w:spacing w:line="320" w:lineRule="atLeast"/>
        <w:jc w:val="both"/>
      </w:pPr>
      <w:r>
        <w:t xml:space="preserve">Both the mean and median pay gaps are </w:t>
      </w:r>
      <w:r w:rsidRPr="004F2818">
        <w:rPr>
          <w:b/>
          <w:bCs/>
        </w:rPr>
        <w:t>negative</w:t>
      </w:r>
      <w:r w:rsidRPr="004F2818">
        <w:t xml:space="preserve"> </w:t>
      </w:r>
      <w:r w:rsidRPr="00807C5F">
        <w:t xml:space="preserve">– meaning that </w:t>
      </w:r>
      <w:r>
        <w:t>the average pay for those in group (ii) exceeds that for group (</w:t>
      </w:r>
      <w:proofErr w:type="spellStart"/>
      <w:r>
        <w:t>i</w:t>
      </w:r>
      <w:proofErr w:type="spellEnd"/>
      <w:r>
        <w:t>). This is a very positive figure and reflects our commitment to equality and diversity</w:t>
      </w:r>
      <w:r w:rsidR="00DC34DF">
        <w:t>.</w:t>
      </w:r>
    </w:p>
    <w:p w14:paraId="7256D4E0" w14:textId="77777777" w:rsidR="00DD11D6" w:rsidRDefault="00DD11D6" w:rsidP="00DD11D6">
      <w:pPr>
        <w:spacing w:line="320" w:lineRule="atLeast"/>
        <w:jc w:val="both"/>
      </w:pPr>
    </w:p>
    <w:p w14:paraId="640587C8" w14:textId="29447CB8" w:rsidR="00DD11D6" w:rsidRDefault="00DD11D6" w:rsidP="00DD11D6">
      <w:pPr>
        <w:spacing w:line="320" w:lineRule="atLeast"/>
        <w:jc w:val="both"/>
      </w:pPr>
      <w:r>
        <w:t>Black, Asian and ethnically diverse staff constitute a proportionally smaller group than those in the gender pay analysis (</w:t>
      </w:r>
      <w:proofErr w:type="spellStart"/>
      <w:r>
        <w:t>ie</w:t>
      </w:r>
      <w:proofErr w:type="spellEnd"/>
      <w:r>
        <w:t xml:space="preserve"> male and female) and so this figure is likely to be more volatile year to year, as it can be affected by small changes in headcount.</w:t>
      </w:r>
    </w:p>
    <w:p w14:paraId="11D20995" w14:textId="1FFEDA60" w:rsidR="00993DE6" w:rsidRDefault="00993DE6" w:rsidP="00DD11D6">
      <w:pPr>
        <w:spacing w:line="320" w:lineRule="atLeast"/>
        <w:jc w:val="both"/>
      </w:pPr>
    </w:p>
    <w:p w14:paraId="69681204" w14:textId="392D92A0" w:rsidR="00C826B4" w:rsidRDefault="00C826B4" w:rsidP="00C826B4">
      <w:pPr>
        <w:spacing w:line="320" w:lineRule="atLeast"/>
        <w:jc w:val="both"/>
      </w:pPr>
      <w:r>
        <w:t>The bonus is only paid as £250 as a flat rate (hence the median being zero). However</w:t>
      </w:r>
      <w:r w:rsidR="00DC34DF">
        <w:t>,</w:t>
      </w:r>
      <w:r>
        <w:t xml:space="preserve"> the gender gap in the mean bonus reflects the fact that we do not pay this (only £250 as a flat rate) to staff on probation (in their first six months of service) and reflects the large number of new employees who were </w:t>
      </w:r>
      <w:r w:rsidR="004F0D6C">
        <w:t>Black, Asian and ethnically diverse</w:t>
      </w:r>
      <w:r>
        <w:t xml:space="preserve"> in 2022.</w:t>
      </w:r>
    </w:p>
    <w:p w14:paraId="0F0C6414" w14:textId="492BC167" w:rsidR="00C826B4" w:rsidRDefault="00C826B4" w:rsidP="00DD11D6">
      <w:pPr>
        <w:spacing w:line="320" w:lineRule="atLeast"/>
        <w:jc w:val="both"/>
      </w:pPr>
    </w:p>
    <w:p w14:paraId="2EA76DD3" w14:textId="78847F0A" w:rsidR="00264D84" w:rsidRPr="004F2818" w:rsidRDefault="00264D84" w:rsidP="00DD11D6">
      <w:pPr>
        <w:spacing w:line="320" w:lineRule="atLeast"/>
        <w:jc w:val="both"/>
      </w:pPr>
      <w:r w:rsidRPr="00DC34DF">
        <w:lastRenderedPageBreak/>
        <w:t>As a comparator, the Civil Service median ethnicity pay gap is 22.6% (</w:t>
      </w:r>
      <w:r w:rsidR="00DC34DF">
        <w:t>Arts Council England’s is</w:t>
      </w:r>
      <w:r w:rsidRPr="00DC34DF">
        <w:t xml:space="preserve"> </w:t>
      </w:r>
      <w:r w:rsidRPr="004F2818">
        <w:rPr>
          <w:b/>
          <w:bCs/>
        </w:rPr>
        <w:t>-</w:t>
      </w:r>
      <w:r w:rsidRPr="00DC34DF">
        <w:t>4.0%) and its mean ethnicity pay gap is 31.3% (</w:t>
      </w:r>
      <w:r w:rsidR="00DC34DF">
        <w:t>Arts Council England’s is</w:t>
      </w:r>
      <w:r w:rsidR="00DC34DF" w:rsidRPr="00DC34DF">
        <w:t xml:space="preserve"> </w:t>
      </w:r>
      <w:r w:rsidR="003F7864" w:rsidRPr="004F2818">
        <w:rPr>
          <w:b/>
          <w:bCs/>
        </w:rPr>
        <w:t>-</w:t>
      </w:r>
      <w:r w:rsidRPr="00DC34DF">
        <w:t>5.6%).</w:t>
      </w:r>
      <w:r w:rsidR="00DC34DF">
        <w:rPr>
          <w:rStyle w:val="FootnoteReference"/>
        </w:rPr>
        <w:footnoteReference w:id="3"/>
      </w:r>
    </w:p>
    <w:p w14:paraId="251680E5" w14:textId="1D623ADE" w:rsidR="00A3302F" w:rsidRDefault="00A3302F" w:rsidP="00DD11D6">
      <w:pPr>
        <w:spacing w:line="320" w:lineRule="atLeast"/>
        <w:jc w:val="both"/>
        <w:rPr>
          <w:color w:val="FF0000"/>
        </w:rPr>
      </w:pPr>
    </w:p>
    <w:p w14:paraId="5C79185C" w14:textId="614E9E78" w:rsidR="00A3302F" w:rsidRPr="004F2818" w:rsidRDefault="00A3302F" w:rsidP="00DD11D6">
      <w:pPr>
        <w:spacing w:line="320" w:lineRule="atLeast"/>
        <w:jc w:val="both"/>
        <w:rPr>
          <w:color w:val="FF0000"/>
        </w:rPr>
      </w:pPr>
      <w:r>
        <w:rPr>
          <w:noProof/>
        </w:rPr>
        <w:drawing>
          <wp:inline distT="0" distB="0" distL="0" distR="0" wp14:anchorId="20224660" wp14:editId="30F0C3E9">
            <wp:extent cx="5587365" cy="3007995"/>
            <wp:effectExtent l="0" t="0" r="0" b="1905"/>
            <wp:docPr id="6" name="Picture 6" descr="Chart, bar chart&#10;&#10;Description automatically generated">
              <a:extLst xmlns:a="http://schemas.openxmlformats.org/drawingml/2006/main">
                <a:ext uri="{FF2B5EF4-FFF2-40B4-BE49-F238E27FC236}">
                  <a16:creationId xmlns:a16="http://schemas.microsoft.com/office/drawing/2014/main" id="{F7DD5BCA-CA3D-5D8C-E63D-D47B0E7C4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bar chart&#10;&#10;Description automatically generated">
                      <a:extLst>
                        <a:ext uri="{FF2B5EF4-FFF2-40B4-BE49-F238E27FC236}">
                          <a16:creationId xmlns:a16="http://schemas.microsoft.com/office/drawing/2014/main" id="{F7DD5BCA-CA3D-5D8C-E63D-D47B0E7C4F71}"/>
                        </a:ext>
                      </a:extLst>
                    </pic:cNvPr>
                    <pic:cNvPicPr>
                      <a:picLocks noChangeAspect="1"/>
                    </pic:cNvPicPr>
                  </pic:nvPicPr>
                  <pic:blipFill>
                    <a:blip r:embed="rId9"/>
                    <a:stretch>
                      <a:fillRect/>
                    </a:stretch>
                  </pic:blipFill>
                  <pic:spPr>
                    <a:xfrm>
                      <a:off x="0" y="0"/>
                      <a:ext cx="5587365" cy="3007995"/>
                    </a:xfrm>
                    <a:prstGeom prst="rect">
                      <a:avLst/>
                    </a:prstGeom>
                  </pic:spPr>
                </pic:pic>
              </a:graphicData>
            </a:graphic>
          </wp:inline>
        </w:drawing>
      </w:r>
    </w:p>
    <w:p w14:paraId="21B0DBD8" w14:textId="6F4373DA" w:rsidR="00264D84" w:rsidRDefault="00264D84" w:rsidP="00DD11D6">
      <w:pPr>
        <w:spacing w:line="320" w:lineRule="atLeast"/>
        <w:jc w:val="both"/>
      </w:pPr>
    </w:p>
    <w:p w14:paraId="09C05FF8" w14:textId="73B4EBE0" w:rsidR="00264D84" w:rsidRDefault="00264D84" w:rsidP="00DD11D6">
      <w:pPr>
        <w:spacing w:line="320" w:lineRule="atLeast"/>
        <w:jc w:val="both"/>
      </w:pPr>
    </w:p>
    <w:p w14:paraId="3B6EE150" w14:textId="76ADC5B0" w:rsidR="009A0E6B" w:rsidRPr="00993DE6" w:rsidRDefault="009A0E6B" w:rsidP="00DD11D6">
      <w:pPr>
        <w:spacing w:line="320" w:lineRule="atLeast"/>
        <w:jc w:val="both"/>
      </w:pPr>
      <w:r>
        <w:t xml:space="preserve">In summary, it can be seen that Arts Council England performs more favourably than the Civil Service in both gender and ethnicity pay gaps.  These are important comparators as Arts Council England is bound by the Civil Service pay structure and pay remits.  </w:t>
      </w:r>
    </w:p>
    <w:sectPr w:rsidR="009A0E6B" w:rsidRPr="00993DE6">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09E6" w14:textId="77777777" w:rsidR="008A6AAF" w:rsidRDefault="008A6AAF" w:rsidP="00DC34DF">
      <w:pPr>
        <w:spacing w:line="240" w:lineRule="auto"/>
      </w:pPr>
      <w:r>
        <w:separator/>
      </w:r>
    </w:p>
  </w:endnote>
  <w:endnote w:type="continuationSeparator" w:id="0">
    <w:p w14:paraId="3920AA67" w14:textId="77777777" w:rsidR="008A6AAF" w:rsidRDefault="008A6AAF" w:rsidP="00DC34DF">
      <w:pPr>
        <w:spacing w:line="240" w:lineRule="auto"/>
      </w:pPr>
      <w:r>
        <w:continuationSeparator/>
      </w:r>
    </w:p>
  </w:endnote>
  <w:endnote w:type="continuationNotice" w:id="1">
    <w:p w14:paraId="742FC218" w14:textId="77777777" w:rsidR="008A6AAF" w:rsidRDefault="008A6A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46D5" w14:textId="77777777" w:rsidR="008A6AAF" w:rsidRDefault="008A6AAF" w:rsidP="00DC34DF">
      <w:pPr>
        <w:spacing w:line="240" w:lineRule="auto"/>
      </w:pPr>
      <w:r>
        <w:separator/>
      </w:r>
    </w:p>
  </w:footnote>
  <w:footnote w:type="continuationSeparator" w:id="0">
    <w:p w14:paraId="63E72B19" w14:textId="77777777" w:rsidR="008A6AAF" w:rsidRDefault="008A6AAF" w:rsidP="00DC34DF">
      <w:pPr>
        <w:spacing w:line="240" w:lineRule="auto"/>
      </w:pPr>
      <w:r>
        <w:continuationSeparator/>
      </w:r>
    </w:p>
  </w:footnote>
  <w:footnote w:type="continuationNotice" w:id="1">
    <w:p w14:paraId="17660624" w14:textId="77777777" w:rsidR="008A6AAF" w:rsidRDefault="008A6AAF">
      <w:pPr>
        <w:spacing w:line="240" w:lineRule="auto"/>
      </w:pPr>
    </w:p>
  </w:footnote>
  <w:footnote w:id="2">
    <w:p w14:paraId="40258BBE" w14:textId="76B5876A" w:rsidR="00DC34DF" w:rsidRDefault="00DC34DF">
      <w:pPr>
        <w:pStyle w:val="FootnoteText"/>
      </w:pPr>
      <w:r>
        <w:rPr>
          <w:rStyle w:val="FootnoteReference"/>
        </w:rPr>
        <w:footnoteRef/>
      </w:r>
      <w:r>
        <w:t xml:space="preserve"> </w:t>
      </w:r>
      <w:hyperlink r:id="rId1" w:anchor="gender-pay-gap" w:history="1">
        <w:r w:rsidRPr="00857C20">
          <w:rPr>
            <w:rStyle w:val="Hyperlink"/>
          </w:rPr>
          <w:t>https://www.gov.uk/government/statistics/civil-service-statistics-2022/statistical-bulletin-civil-service-statistics-2022#gender-pay-gap</w:t>
        </w:r>
      </w:hyperlink>
      <w:r>
        <w:t xml:space="preserve"> </w:t>
      </w:r>
    </w:p>
  </w:footnote>
  <w:footnote w:id="3">
    <w:p w14:paraId="40C29AC7" w14:textId="50451B46" w:rsidR="00DC34DF" w:rsidRDefault="00DC34DF">
      <w:pPr>
        <w:pStyle w:val="FootnoteText"/>
      </w:pPr>
      <w:r>
        <w:rPr>
          <w:rStyle w:val="FootnoteReference"/>
        </w:rPr>
        <w:footnoteRef/>
      </w:r>
      <w:r>
        <w:t xml:space="preserve"> </w:t>
      </w:r>
      <w:hyperlink r:id="rId2" w:history="1">
        <w:r w:rsidR="00720E1D" w:rsidRPr="00D835BD">
          <w:rPr>
            <w:rStyle w:val="Hyperlink"/>
          </w:rPr>
          <w:t>https://www.gov.uk/government/publications/mhra-ethnicity-pay-gap-report/ethnicity-pay-gap-report-april-2021-to-march-2022</w:t>
        </w:r>
      </w:hyperlink>
      <w:r w:rsidR="00720E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BEA" w14:textId="534AF753" w:rsidR="00DC34DF" w:rsidRDefault="00DC34DF">
    <w:pPr>
      <w:pStyle w:val="Header"/>
    </w:pPr>
    <w:r>
      <w:rPr>
        <w:noProof/>
      </w:rPr>
      <w:drawing>
        <wp:anchor distT="0" distB="0" distL="114300" distR="114300" simplePos="0" relativeHeight="251658240" behindDoc="0" locked="0" layoutInCell="1" allowOverlap="1" wp14:anchorId="7DFF0031" wp14:editId="6DFFA2E7">
          <wp:simplePos x="0" y="0"/>
          <wp:positionH relativeFrom="rightMargin">
            <wp:align>left</wp:align>
          </wp:positionH>
          <wp:positionV relativeFrom="paragraph">
            <wp:posOffset>-274134</wp:posOffset>
          </wp:positionV>
          <wp:extent cx="1010285" cy="998220"/>
          <wp:effectExtent l="0" t="0" r="0" b="0"/>
          <wp:wrapSquare wrapText="bothSides"/>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0285" cy="99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124150860">
    <w:abstractNumId w:val="4"/>
  </w:num>
  <w:num w:numId="2" w16cid:durableId="345406719">
    <w:abstractNumId w:val="0"/>
  </w:num>
  <w:num w:numId="3" w16cid:durableId="713391622">
    <w:abstractNumId w:val="0"/>
  </w:num>
  <w:num w:numId="4" w16cid:durableId="478352824">
    <w:abstractNumId w:val="0"/>
  </w:num>
  <w:num w:numId="5" w16cid:durableId="144974771">
    <w:abstractNumId w:val="0"/>
  </w:num>
  <w:num w:numId="6" w16cid:durableId="1287152605">
    <w:abstractNumId w:val="0"/>
  </w:num>
  <w:num w:numId="7" w16cid:durableId="1875729006">
    <w:abstractNumId w:val="0"/>
  </w:num>
  <w:num w:numId="8" w16cid:durableId="1686664332">
    <w:abstractNumId w:val="0"/>
  </w:num>
  <w:num w:numId="9" w16cid:durableId="1458839548">
    <w:abstractNumId w:val="0"/>
  </w:num>
  <w:num w:numId="10" w16cid:durableId="1480993842">
    <w:abstractNumId w:val="0"/>
  </w:num>
  <w:num w:numId="11" w16cid:durableId="2085562647">
    <w:abstractNumId w:val="0"/>
  </w:num>
  <w:num w:numId="12" w16cid:durableId="1536389199">
    <w:abstractNumId w:val="2"/>
  </w:num>
  <w:num w:numId="13" w16cid:durableId="1226842786">
    <w:abstractNumId w:val="3"/>
  </w:num>
  <w:num w:numId="14" w16cid:durableId="203777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E6"/>
    <w:rsid w:val="00264D84"/>
    <w:rsid w:val="002767E0"/>
    <w:rsid w:val="002C1907"/>
    <w:rsid w:val="00393379"/>
    <w:rsid w:val="003967F6"/>
    <w:rsid w:val="003B59B4"/>
    <w:rsid w:val="003D7542"/>
    <w:rsid w:val="003F7864"/>
    <w:rsid w:val="004F0D6C"/>
    <w:rsid w:val="004F2818"/>
    <w:rsid w:val="004F5618"/>
    <w:rsid w:val="0060615E"/>
    <w:rsid w:val="00670A18"/>
    <w:rsid w:val="00720E1D"/>
    <w:rsid w:val="0073648B"/>
    <w:rsid w:val="008A6AAF"/>
    <w:rsid w:val="008B553D"/>
    <w:rsid w:val="00993DE6"/>
    <w:rsid w:val="009A0E6B"/>
    <w:rsid w:val="009D0B36"/>
    <w:rsid w:val="00A3302F"/>
    <w:rsid w:val="00AB4E47"/>
    <w:rsid w:val="00AE4888"/>
    <w:rsid w:val="00B33771"/>
    <w:rsid w:val="00BA26AA"/>
    <w:rsid w:val="00BA5F13"/>
    <w:rsid w:val="00C725DA"/>
    <w:rsid w:val="00C826B4"/>
    <w:rsid w:val="00D12E49"/>
    <w:rsid w:val="00DC34DF"/>
    <w:rsid w:val="00DD11D6"/>
    <w:rsid w:val="00DD4354"/>
    <w:rsid w:val="00DE3A72"/>
    <w:rsid w:val="00E74038"/>
    <w:rsid w:val="00F33552"/>
    <w:rsid w:val="00FC0B81"/>
    <w:rsid w:val="00FE2F5B"/>
    <w:rsid w:val="169E037B"/>
    <w:rsid w:val="2845297F"/>
    <w:rsid w:val="3BD2F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A95D4"/>
  <w15:chartTrackingRefBased/>
  <w15:docId w15:val="{0F3CDACF-1569-483A-A985-936EDA9E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E6"/>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Revision">
    <w:name w:val="Revision"/>
    <w:hidden/>
    <w:uiPriority w:val="99"/>
    <w:semiHidden/>
    <w:rsid w:val="00264D84"/>
    <w:rPr>
      <w:rFonts w:ascii="Arial" w:hAnsi="Arial"/>
      <w:sz w:val="24"/>
      <w:lang w:eastAsia="en-US"/>
    </w:rPr>
  </w:style>
  <w:style w:type="character" w:styleId="UnresolvedMention">
    <w:name w:val="Unresolved Mention"/>
    <w:basedOn w:val="DefaultParagraphFont"/>
    <w:uiPriority w:val="99"/>
    <w:semiHidden/>
    <w:unhideWhenUsed/>
    <w:rsid w:val="0026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635">
      <w:bodyDiv w:val="1"/>
      <w:marLeft w:val="0"/>
      <w:marRight w:val="0"/>
      <w:marTop w:val="0"/>
      <w:marBottom w:val="0"/>
      <w:divBdr>
        <w:top w:val="none" w:sz="0" w:space="0" w:color="auto"/>
        <w:left w:val="none" w:sz="0" w:space="0" w:color="auto"/>
        <w:bottom w:val="none" w:sz="0" w:space="0" w:color="auto"/>
        <w:right w:val="none" w:sz="0" w:space="0" w:color="auto"/>
      </w:divBdr>
    </w:div>
    <w:div w:id="1173833601">
      <w:bodyDiv w:val="1"/>
      <w:marLeft w:val="0"/>
      <w:marRight w:val="0"/>
      <w:marTop w:val="0"/>
      <w:marBottom w:val="0"/>
      <w:divBdr>
        <w:top w:val="none" w:sz="0" w:space="0" w:color="auto"/>
        <w:left w:val="none" w:sz="0" w:space="0" w:color="auto"/>
        <w:bottom w:val="none" w:sz="0" w:space="0" w:color="auto"/>
        <w:right w:val="none" w:sz="0" w:space="0" w:color="auto"/>
      </w:divBdr>
    </w:div>
    <w:div w:id="1622221900">
      <w:bodyDiv w:val="1"/>
      <w:marLeft w:val="0"/>
      <w:marRight w:val="0"/>
      <w:marTop w:val="0"/>
      <w:marBottom w:val="0"/>
      <w:divBdr>
        <w:top w:val="none" w:sz="0" w:space="0" w:color="auto"/>
        <w:left w:val="none" w:sz="0" w:space="0" w:color="auto"/>
        <w:bottom w:val="none" w:sz="0" w:space="0" w:color="auto"/>
        <w:right w:val="none" w:sz="0" w:space="0" w:color="auto"/>
      </w:divBdr>
    </w:div>
    <w:div w:id="20093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mhra-ethnicity-pay-gap-report/ethnicity-pay-gap-report-april-2021-to-march-2022" TargetMode="External"/><Relationship Id="rId1" Type="http://schemas.openxmlformats.org/officeDocument/2006/relationships/hyperlink" Target="https://www.gov.uk/government/statistics/civil-service-statistics-2022/statistical-bulletin-civil-service-statistics-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2EF5-EF23-41CB-800D-730DE39D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4077</Characters>
  <Application>Microsoft Office Word</Application>
  <DocSecurity>8</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Ashcroft</dc:creator>
  <cp:keywords/>
  <dc:description/>
  <cp:lastModifiedBy>Anne Nwakalor</cp:lastModifiedBy>
  <cp:revision>2</cp:revision>
  <cp:lastPrinted>1998-09-28T15:30:00Z</cp:lastPrinted>
  <dcterms:created xsi:type="dcterms:W3CDTF">2023-03-21T11:54:00Z</dcterms:created>
  <dcterms:modified xsi:type="dcterms:W3CDTF">2023-03-21T11:54:00Z</dcterms:modified>
</cp:coreProperties>
</file>